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ECF6" w14:textId="7DCFE95D" w:rsidR="00A670B8" w:rsidRPr="001823FF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 w:cs="Arial"/>
          <w:color w:val="000000"/>
          <w:sz w:val="48"/>
          <w:szCs w:val="48"/>
          <w:lang w:val="ru-RU"/>
        </w:rPr>
      </w:pPr>
      <w:r w:rsidRPr="001823FF">
        <w:rPr>
          <w:rStyle w:val="notranslate"/>
          <w:rFonts w:ascii="Georgia" w:hAnsi="Georgia" w:cs="Arial"/>
          <w:noProof/>
          <w:color w:val="000000"/>
          <w:sz w:val="48"/>
          <w:szCs w:val="48"/>
          <w:lang w:val="ru-RU" w:eastAsia="ru-RU"/>
        </w:rPr>
        <w:drawing>
          <wp:inline distT="0" distB="0" distL="0" distR="0" wp14:anchorId="2C3885EE" wp14:editId="7AE933EC">
            <wp:extent cx="1994535" cy="25031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5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DC05" w14:textId="77777777" w:rsidR="00A670B8" w:rsidRPr="001823FF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 w:cs="Arial"/>
          <w:color w:val="000000"/>
          <w:sz w:val="48"/>
          <w:szCs w:val="48"/>
          <w:lang w:val="ru-RU"/>
        </w:rPr>
      </w:pPr>
    </w:p>
    <w:p w14:paraId="30600F11" w14:textId="481DD569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 w:cs="Arial"/>
          <w:color w:val="808080" w:themeColor="background1" w:themeShade="80"/>
          <w:sz w:val="36"/>
          <w:szCs w:val="32"/>
          <w:lang w:val="ru-RU"/>
        </w:rPr>
      </w:pPr>
      <w:r w:rsidRPr="00421034">
        <w:rPr>
          <w:rStyle w:val="notranslate"/>
          <w:rFonts w:ascii="Georgia" w:hAnsi="Georgia" w:cs="Arial"/>
          <w:color w:val="808080" w:themeColor="background1" w:themeShade="80"/>
          <w:sz w:val="36"/>
          <w:szCs w:val="32"/>
          <w:lang w:val="ru-RU"/>
        </w:rPr>
        <w:t xml:space="preserve">Техническое задание по приоритетным </w:t>
      </w:r>
      <w:proofErr w:type="spellStart"/>
      <w:r w:rsidR="002B3D7B" w:rsidRPr="00421034">
        <w:rPr>
          <w:rStyle w:val="notranslate"/>
          <w:rFonts w:ascii="Georgia" w:hAnsi="Georgia" w:cs="Arial"/>
          <w:color w:val="808080" w:themeColor="background1" w:themeShade="80"/>
          <w:sz w:val="36"/>
          <w:szCs w:val="32"/>
          <w:lang w:val="ru-RU"/>
        </w:rPr>
        <w:t>межстрановым</w:t>
      </w:r>
      <w:proofErr w:type="spellEnd"/>
      <w:r w:rsidR="002B3D7B" w:rsidRPr="00421034">
        <w:rPr>
          <w:rStyle w:val="notranslate"/>
          <w:rFonts w:ascii="Georgia" w:hAnsi="Georgia" w:cs="Arial"/>
          <w:color w:val="808080" w:themeColor="background1" w:themeShade="80"/>
          <w:sz w:val="36"/>
          <w:szCs w:val="32"/>
          <w:lang w:val="ru-RU"/>
        </w:rPr>
        <w:t xml:space="preserve"> </w:t>
      </w:r>
      <w:r w:rsidRPr="00421034">
        <w:rPr>
          <w:rStyle w:val="notranslate"/>
          <w:rFonts w:ascii="Georgia" w:hAnsi="Georgia" w:cs="Arial"/>
          <w:color w:val="808080" w:themeColor="background1" w:themeShade="80"/>
          <w:sz w:val="36"/>
          <w:szCs w:val="32"/>
          <w:lang w:val="ru-RU"/>
        </w:rPr>
        <w:t>сферам, открыто для обсуждения</w:t>
      </w:r>
    </w:p>
    <w:p w14:paraId="4B550E06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lang w:val="ru-RU"/>
        </w:rPr>
      </w:pPr>
    </w:p>
    <w:p w14:paraId="702EB9B1" w14:textId="218A5C8D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8"/>
          <w:szCs w:val="28"/>
          <w:lang w:val="ru-RU"/>
        </w:rPr>
      </w:pPr>
      <w:r w:rsidRPr="00421034">
        <w:rPr>
          <w:rStyle w:val="notranslate"/>
          <w:rFonts w:ascii="Georgia" w:hAnsi="Georgia" w:cs="Arial"/>
          <w:color w:val="000000"/>
          <w:sz w:val="28"/>
          <w:szCs w:val="28"/>
          <w:lang w:val="ru-RU"/>
        </w:rPr>
        <w:t>ВИЧ: Устойчивость услуг для ключевых групп населения в регионе Восточной Европы и Центральной Азии</w:t>
      </w:r>
    </w:p>
    <w:p w14:paraId="540D4FAF" w14:textId="77777777" w:rsidR="00A670B8" w:rsidRPr="001823FF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 w:cs="Arial"/>
          <w:color w:val="000000"/>
          <w:sz w:val="22"/>
          <w:szCs w:val="22"/>
          <w:lang w:val="ru-RU"/>
        </w:rPr>
      </w:pPr>
    </w:p>
    <w:p w14:paraId="4B96B62F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 w:cs="Arial"/>
          <w:color w:val="000000"/>
          <w:sz w:val="22"/>
          <w:szCs w:val="22"/>
          <w:lang w:val="ru-RU"/>
        </w:rPr>
        <w:t>25 октября 2017 года</w:t>
      </w:r>
    </w:p>
    <w:p w14:paraId="6FD7FEB7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b/>
          <w:bCs/>
          <w:color w:val="000000"/>
          <w:sz w:val="22"/>
          <w:szCs w:val="22"/>
          <w:lang w:val="ru-RU"/>
        </w:rPr>
        <w:t> </w:t>
      </w:r>
    </w:p>
    <w:p w14:paraId="3FC46EE0" w14:textId="04C208BF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Приоритет: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устойчивость услуг для ключевых групп населения в регионе Восточной Европы и Центральной Азии</w:t>
      </w:r>
      <w:r w:rsidRPr="00421034">
        <w:rPr>
          <w:rStyle w:val="a6"/>
          <w:rFonts w:ascii="Georgia" w:hAnsi="Georgia"/>
          <w:color w:val="000000"/>
          <w:sz w:val="22"/>
          <w:szCs w:val="22"/>
          <w:lang w:val="ru-RU"/>
        </w:rPr>
        <w:footnoteReference w:id="1"/>
      </w:r>
    </w:p>
    <w:p w14:paraId="6DDE4E8E" w14:textId="4298B39E" w:rsidR="00A670B8" w:rsidRPr="00421034" w:rsidRDefault="002B3D7B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Максимальная сумма гранта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$ 13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миллионов</w:t>
      </w:r>
    </w:p>
    <w:p w14:paraId="04788CDC" w14:textId="756537DB" w:rsidR="00A670B8" w:rsidRPr="00421034" w:rsidRDefault="002B3D7B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Максимальное количество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 грантов: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1-2</w:t>
      </w:r>
    </w:p>
    <w:p w14:paraId="1FC07D5C" w14:textId="345D05F2" w:rsidR="00A670B8" w:rsidRPr="00421034" w:rsidRDefault="002B3D7B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П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родолжительность</w:t>
      </w: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 гранта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3 года</w:t>
      </w:r>
    </w:p>
    <w:p w14:paraId="3695F70F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b/>
          <w:bCs/>
          <w:color w:val="000000"/>
          <w:sz w:val="22"/>
          <w:szCs w:val="22"/>
          <w:lang w:val="ru-RU"/>
        </w:rPr>
        <w:t> </w:t>
      </w:r>
    </w:p>
    <w:p w14:paraId="3233BC9D" w14:textId="7BC0322D" w:rsidR="00A670B8" w:rsidRPr="00421034" w:rsidRDefault="003C612D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proofErr w:type="spellStart"/>
      <w:r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Много</w:t>
      </w:r>
      <w:r w:rsidR="001823FF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страново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й</w:t>
      </w:r>
      <w:proofErr w:type="spellEnd"/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подход: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 основании</w:t>
      </w: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решения Правления Глобального Ф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онда (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GF/B36/04) в ноябре 2016 года, на период распределения Ка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талитических </w:t>
      </w: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Инвестиций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 2017-2019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было выделено $ 13 000 000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для решения 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проблемы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устойчивости услуг для ключевых групп населения в 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регионе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Восточной Евр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опы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и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Центральной Азии.</w:t>
      </w:r>
      <w:r w:rsidR="002B3D7B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Суммы и приоритетные 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сферы Каталитических Инвестиций были определены, в первую очередь,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техническими партнерами 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при консультации с Секретариатом Глобального Ф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онда</w:t>
      </w:r>
      <w:r w:rsidR="002B3D7B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отражали критические потребности, которые будут способствовать осуществлению глобальных планов по ВИЧ, туберкулезу и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малярии,</w:t>
      </w: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а также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141553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Стратегии Глобального Фонда на 2017-2022 гг</w:t>
      </w: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65697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Согласно </w:t>
      </w:r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рекомендациям</w:t>
      </w:r>
      <w:r w:rsidR="0065697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Совета Глобального Ф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онда и технических партнеров эти средства будут распределены через открытый и конкурентный процесс </w:t>
      </w:r>
      <w:r w:rsidR="0065697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приема заявок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</w:p>
    <w:p w14:paraId="39B7094A" w14:textId="77777777" w:rsidR="0065697F" w:rsidRPr="00421034" w:rsidRDefault="0065697F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</w:p>
    <w:p w14:paraId="05D7956D" w14:textId="419C0C4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Все замечания по проекту Технического задания должны быть направлены Кристин</w:t>
      </w:r>
      <w:r w:rsidR="001E57BE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Кабар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Chris</w:t>
      </w:r>
      <w:r w:rsidR="001E57BE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tine.Kabare@theglobalfund.org до полуночи 15 ноября 2017 г по </w:t>
      </w:r>
      <w:proofErr w:type="spellStart"/>
      <w:r w:rsidR="003C612D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Центральноевропейскому</w:t>
      </w:r>
      <w:proofErr w:type="spellEnd"/>
      <w:r w:rsidR="003C612D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летнему времени</w:t>
      </w:r>
      <w:r w:rsidR="001E57BE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. </w:t>
      </w:r>
    </w:p>
    <w:p w14:paraId="12BC338A" w14:textId="77777777" w:rsidR="001E57BE" w:rsidRPr="00421034" w:rsidRDefault="001E57BE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</w:p>
    <w:p w14:paraId="5911FF50" w14:textId="60D40E14" w:rsidR="001E57BE" w:rsidRPr="00421034" w:rsidRDefault="001E57BE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  <w:t>Предыстория</w:t>
      </w:r>
    </w:p>
    <w:p w14:paraId="422CF9BF" w14:textId="77777777" w:rsidR="001E57BE" w:rsidRPr="00421034" w:rsidRDefault="001E57BE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</w:pPr>
    </w:p>
    <w:p w14:paraId="2DD530F9" w14:textId="72CE2A23" w:rsidR="00A670B8" w:rsidRPr="00421034" w:rsidRDefault="00A670B8" w:rsidP="001823FF">
      <w:pPr>
        <w:pStyle w:val="Default"/>
        <w:rPr>
          <w:rFonts w:ascii="Georgia" w:hAnsi="Georgia" w:cs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Ежегодное </w:t>
      </w:r>
      <w:r w:rsidR="003C612D">
        <w:rPr>
          <w:rStyle w:val="notranslate"/>
          <w:rFonts w:ascii="Georgia" w:hAnsi="Georgia"/>
          <w:sz w:val="22"/>
          <w:szCs w:val="22"/>
          <w:lang w:val="ru-RU"/>
        </w:rPr>
        <w:t>число новых случаев ВИЧ-инфицирования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продолжает расти в Восточной Европе и Центральной Азии (увеличение на 60% в период между 2010 и 2016 годами), что указывает на неоптимальное качество и охват программ профилактики ВИЧ.</w:t>
      </w:r>
      <w:r w:rsidR="003C612D">
        <w:rPr>
          <w:rStyle w:val="apple-converted-space"/>
          <w:rFonts w:ascii="Georgia" w:hAnsi="Georgia"/>
          <w:sz w:val="22"/>
          <w:szCs w:val="22"/>
          <w:lang w:val="ru-RU"/>
        </w:rPr>
        <w:t xml:space="preserve"> Также </w:t>
      </w:r>
      <w:r w:rsidR="001E57BE" w:rsidRPr="00421034">
        <w:rPr>
          <w:rStyle w:val="apple-converted-space"/>
          <w:rFonts w:ascii="Georgia" w:hAnsi="Georgia"/>
          <w:sz w:val="22"/>
          <w:szCs w:val="22"/>
          <w:lang w:val="ru-RU"/>
        </w:rPr>
        <w:t xml:space="preserve">остаются </w:t>
      </w:r>
      <w:r w:rsidR="001E57BE" w:rsidRPr="00421034">
        <w:rPr>
          <w:rStyle w:val="notranslate"/>
          <w:rFonts w:ascii="Georgia" w:hAnsi="Georgia"/>
          <w:sz w:val="22"/>
          <w:szCs w:val="22"/>
          <w:lang w:val="ru-RU"/>
        </w:rPr>
        <w:t>б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ольшие </w:t>
      </w:r>
      <w:r w:rsidR="001E57BE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пробелы в континууме лечения 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в регионе, а регион не </w:t>
      </w:r>
      <w:r w:rsidR="003C612D">
        <w:rPr>
          <w:rStyle w:val="notranslate"/>
          <w:rFonts w:ascii="Georgia" w:hAnsi="Georgia"/>
          <w:sz w:val="22"/>
          <w:szCs w:val="22"/>
          <w:lang w:val="ru-RU"/>
        </w:rPr>
        <w:t>находиться на пути к достижению</w:t>
      </w:r>
      <w:r w:rsidR="001E57BE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целей 90-90-90 к 2020 году. Охват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лечения остается </w:t>
      </w:r>
      <w:r w:rsidR="001E57BE" w:rsidRPr="00421034">
        <w:rPr>
          <w:rStyle w:val="notranslate"/>
          <w:rFonts w:ascii="Georgia" w:hAnsi="Georgia"/>
          <w:sz w:val="22"/>
          <w:szCs w:val="22"/>
          <w:lang w:val="ru-RU"/>
        </w:rPr>
        <w:t>на тревожно низком уровне</w:t>
      </w:r>
      <w:r w:rsidR="003C612D">
        <w:rPr>
          <w:rStyle w:val="notranslate"/>
          <w:rFonts w:ascii="Georgia" w:hAnsi="Georgia"/>
          <w:sz w:val="22"/>
          <w:szCs w:val="22"/>
          <w:lang w:val="ru-RU"/>
        </w:rPr>
        <w:t xml:space="preserve"> (28%), а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менее четвер</w:t>
      </w:r>
      <w:r w:rsidR="001E57BE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ти людей, живущих </w:t>
      </w:r>
      <w:r w:rsidR="003C612D" w:rsidRPr="00421034">
        <w:rPr>
          <w:rStyle w:val="notranslate"/>
          <w:rFonts w:ascii="Georgia" w:hAnsi="Georgia"/>
          <w:sz w:val="22"/>
          <w:szCs w:val="22"/>
          <w:lang w:val="ru-RU"/>
        </w:rPr>
        <w:t>с ВИЧ,</w:t>
      </w:r>
      <w:r w:rsidR="001E57BE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подавили вирусную нагрузку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(</w:t>
      </w:r>
      <w:r w:rsidR="003C612D">
        <w:rPr>
          <w:rStyle w:val="notranslate"/>
          <w:rFonts w:ascii="Georgia" w:hAnsi="Georgia"/>
          <w:sz w:val="22"/>
          <w:szCs w:val="22"/>
          <w:lang w:val="ru-RU"/>
        </w:rPr>
        <w:t xml:space="preserve">на 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конец 2016 г.).</w:t>
      </w:r>
      <w:r w:rsidR="001E57BE" w:rsidRPr="00421034">
        <w:rPr>
          <w:rStyle w:val="apple-converted-spac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Сочетание более целенаправленных внутренних инвестиций с </w:t>
      </w:r>
      <w:r w:rsidR="003C612D">
        <w:rPr>
          <w:rStyle w:val="notranslate"/>
          <w:rFonts w:ascii="Georgia" w:hAnsi="Georgia"/>
          <w:sz w:val="22"/>
          <w:szCs w:val="22"/>
          <w:lang w:val="ru-RU"/>
        </w:rPr>
        <w:t>увеличением внимания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предоставлению услуг ключевым группам населения и постоянным портфелем </w:t>
      </w:r>
      <w:r w:rsidR="001823FF" w:rsidRPr="00421034">
        <w:rPr>
          <w:rStyle w:val="notranslate"/>
          <w:rFonts w:ascii="Georgia" w:hAnsi="Georgia"/>
          <w:sz w:val="22"/>
          <w:szCs w:val="22"/>
          <w:lang w:val="ru-RU"/>
        </w:rPr>
        <w:t>внешних грантов от Глобального Ф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онда и других доноров </w:t>
      </w:r>
      <w:r w:rsidR="001823FF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необходимо 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для ускорения прогресса в достижении целей</w:t>
      </w:r>
      <w:r w:rsidR="00C6463C">
        <w:rPr>
          <w:rStyle w:val="notranslate"/>
          <w:rFonts w:ascii="Georgia" w:hAnsi="Georgia"/>
          <w:sz w:val="22"/>
          <w:szCs w:val="22"/>
          <w:lang w:val="ru-RU"/>
        </w:rPr>
        <w:t xml:space="preserve"> стратегий</w:t>
      </w:r>
      <w:r w:rsidR="001823FF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proofErr w:type="spellStart"/>
      <w:r w:rsidR="001823FF" w:rsidRPr="00421034">
        <w:rPr>
          <w:rFonts w:ascii="Georgia" w:hAnsi="Georgia" w:cs="Georgia"/>
          <w:sz w:val="22"/>
          <w:szCs w:val="22"/>
          <w:lang w:val="ru-RU"/>
        </w:rPr>
        <w:t>Fast-Track</w:t>
      </w:r>
      <w:proofErr w:type="spellEnd"/>
      <w:r w:rsidR="001823FF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и </w:t>
      </w:r>
      <w:proofErr w:type="spellStart"/>
      <w:r w:rsidR="001823FF" w:rsidRPr="00421034">
        <w:rPr>
          <w:rFonts w:ascii="Georgia" w:hAnsi="Georgia" w:cs="Georgia"/>
          <w:sz w:val="22"/>
          <w:szCs w:val="22"/>
          <w:lang w:val="ru-RU"/>
        </w:rPr>
        <w:t>Ending</w:t>
      </w:r>
      <w:proofErr w:type="spellEnd"/>
      <w:r w:rsidR="001823FF" w:rsidRPr="00421034">
        <w:rPr>
          <w:rFonts w:ascii="Georgia" w:hAnsi="Georgia" w:cs="Georgia"/>
          <w:sz w:val="22"/>
          <w:szCs w:val="22"/>
          <w:lang w:val="ru-RU"/>
        </w:rPr>
        <w:t xml:space="preserve"> AIDS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.</w:t>
      </w:r>
    </w:p>
    <w:p w14:paraId="530B3E88" w14:textId="77777777" w:rsidR="00C6463C" w:rsidRDefault="00C6463C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</w:pPr>
    </w:p>
    <w:p w14:paraId="66C48C82" w14:textId="6A33748D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  <w:t>Руководящие принципы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:</w:t>
      </w:r>
    </w:p>
    <w:p w14:paraId="033B5372" w14:textId="77777777" w:rsidR="001823FF" w:rsidRPr="00421034" w:rsidRDefault="001823FF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1D4F3F14" w14:textId="25CDA1E2" w:rsidR="00A670B8" w:rsidRPr="00421034" w:rsidRDefault="00C6463C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Такие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руководящие принципы могут быть использованы </w:t>
      </w:r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для ведения процесса разработки, о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тбор</w:t>
      </w:r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реализации нового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proofErr w:type="spellStart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многостранового</w:t>
      </w:r>
      <w:proofErr w:type="spellEnd"/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гранта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(</w:t>
      </w:r>
      <w:proofErr w:type="spellStart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ов</w:t>
      </w:r>
      <w:proofErr w:type="spellEnd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):</w:t>
      </w:r>
    </w:p>
    <w:p w14:paraId="4E59F9C6" w14:textId="0E72CFB8" w:rsidR="00A670B8" w:rsidRPr="00421034" w:rsidRDefault="00A670B8" w:rsidP="001823FF">
      <w:pPr>
        <w:pStyle w:val="a3"/>
        <w:numPr>
          <w:ilvl w:val="0"/>
          <w:numId w:val="2"/>
        </w:numPr>
        <w:spacing w:before="0" w:beforeAutospacing="0" w:after="0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грант должен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C6463C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строиться</w:t>
      </w:r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на и усиливать существующие механизмы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сотрудничества и партнерства между гражданским обществом и правительством,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C6463C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том числе через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КМС;</w:t>
      </w:r>
    </w:p>
    <w:p w14:paraId="6CD00ED9" w14:textId="65976E61" w:rsidR="00A670B8" w:rsidRPr="00421034" w:rsidRDefault="00A670B8" w:rsidP="001823FF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грант должен быть образцом прозрачности и </w:t>
      </w:r>
      <w:proofErr w:type="spellStart"/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инклюзивности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чтобы дать возможность правительству и другим па</w:t>
      </w:r>
      <w:r w:rsidR="001823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ртнерам поддержать и расширить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услуг</w:t>
      </w:r>
      <w:r w:rsidR="00C6463C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 области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ВИЧ;</w:t>
      </w:r>
    </w:p>
    <w:p w14:paraId="186E6370" w14:textId="63370369" w:rsidR="001823FF" w:rsidRPr="00421034" w:rsidRDefault="00202FBA" w:rsidP="001823FF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грант должен </w:t>
      </w:r>
      <w:r w:rsidR="00CF2563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укреплять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 опираться на существующие региональные и трансграничные инициативы между гражданским обществом и правительствами в ВЕЦА;</w:t>
      </w:r>
    </w:p>
    <w:p w14:paraId="34F5BD66" w14:textId="06E97E55" w:rsidR="00A670B8" w:rsidRPr="00421034" w:rsidRDefault="00A670B8" w:rsidP="001823FF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грант должен использовать потенциал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CF2563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для </w:t>
      </w:r>
      <w:proofErr w:type="spellStart"/>
      <w:r w:rsidR="00CF2563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нетворкинга</w:t>
      </w:r>
      <w:proofErr w:type="spellEnd"/>
      <w:r w:rsidR="00CF2563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и </w:t>
      </w:r>
      <w:r w:rsidR="00CF2563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обмена результатами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режиме реального времени,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том числе посредством </w:t>
      </w:r>
      <w:r w:rsidR="00CF2563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инновационного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использования социальных медиа.</w:t>
      </w:r>
    </w:p>
    <w:p w14:paraId="526FBF88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24139734" w14:textId="496B2E93" w:rsidR="00A670B8" w:rsidRPr="00421034" w:rsidRDefault="00CF2563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  <w:t>Программные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u w:val="single"/>
          <w:lang w:val="ru-RU"/>
        </w:rPr>
        <w:t xml:space="preserve"> подобласти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которые будут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охвачены </w:t>
      </w:r>
      <w:proofErr w:type="spellStart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многострановым</w:t>
      </w:r>
      <w:proofErr w:type="spellEnd"/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грантом(</w:t>
      </w: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ами</w:t>
      </w:r>
      <w:proofErr w:type="spellEnd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) с общей целью ускорения прогресс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стратегии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Fast-Track</w:t>
      </w:r>
      <w:proofErr w:type="spellEnd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 2020 году и обеспечению устойчивости ВИЧ-услуг для ключевых групп населения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(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итоговый </w:t>
      </w:r>
      <w:proofErr w:type="spellStart"/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много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странов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ой</w:t>
      </w:r>
      <w:proofErr w:type="spellEnd"/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грант может быть ограничен одной или нескольким</w:t>
      </w:r>
      <w:r w:rsidR="00FC319A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и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подобластями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):</w:t>
      </w:r>
    </w:p>
    <w:p w14:paraId="0157FFF2" w14:textId="77777777" w:rsidR="00CF2563" w:rsidRPr="00421034" w:rsidRDefault="00CF2563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1E9C74B8" w14:textId="12E441B6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Подобласть I: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Устойчивое финансирование </w:t>
      </w:r>
      <w:r w:rsidR="00CF2563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ВИЧ </w:t>
      </w: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услуг</w:t>
      </w:r>
      <w:r w:rsidR="00CF2563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для ключевых групп населения</w:t>
      </w:r>
    </w:p>
    <w:p w14:paraId="59B98ECD" w14:textId="77777777" w:rsidR="00CF2563" w:rsidRPr="00421034" w:rsidRDefault="00CF2563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</w:pPr>
    </w:p>
    <w:p w14:paraId="73366D9D" w14:textId="6A88A0DD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Обоснование:</w:t>
      </w:r>
      <w:r w:rsidR="009B5335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FC319A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ряд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е стран ВЕЦА, например, Беларусь, Казахстан, Молдова, Украина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 уже созданы национальные и местные законы и мех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анизмы, позволяющие поставщикам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услуг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 области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 дл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я кл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ючевых групп населения (как для </w:t>
      </w:r>
      <w:r w:rsidR="00FC319A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коммерческих,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так и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некоммерческих неправительственных организаций)</w:t>
      </w:r>
      <w:r w:rsidR="009B5335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подаваться на 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государственное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финансировани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е.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Однако накопленный опыт остается очень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небольшим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, а объем и доля государственного финансирования 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ВИЧ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услуг 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для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ключевых групп населения, включая людей, живущих с ВИЧ, </w:t>
      </w:r>
      <w:r w:rsidR="009B533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остается </w:t>
      </w:r>
      <w:r w:rsidR="00857DF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по-прежнему крайне недостаточной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Практика внедрения таких механизмов соответствующими правительственными ведомствами была непоследовательна и значительно </w:t>
      </w:r>
      <w:r w:rsidR="00525424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разниться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даже в пределах одной страны.</w:t>
      </w:r>
      <w:r w:rsidRPr="00421034">
        <w:rPr>
          <w:rStyle w:val="notranslate"/>
          <w:rFonts w:ascii="Georgia" w:hAnsi="Georgia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Часто механизмы для реализации этого законодательства не существуют или являются рудиментарными.</w:t>
      </w:r>
    </w:p>
    <w:p w14:paraId="41DDF1BF" w14:textId="77777777" w:rsidR="00525424" w:rsidRPr="00421034" w:rsidRDefault="00525424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sz w:val="22"/>
          <w:szCs w:val="22"/>
          <w:lang w:val="ru-RU"/>
        </w:rPr>
      </w:pPr>
    </w:p>
    <w:p w14:paraId="0A1817C6" w14:textId="13DDA559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Новый </w:t>
      </w: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много</w:t>
      </w:r>
      <w:r w:rsidR="00525424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страновой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грант может предоставить стимулы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техническую помощь неправительственным поставщикам услуг для работы с центральными и местными органами власти для разработки и внедрения новых и улучшенных механизмов досту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па к государственным грантам (и/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или другого государственного финансирования), для 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ведения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перего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воров по лучшим условиям работы, для создания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более устойчивых моделей государственного финансирования.</w:t>
      </w:r>
      <w:r w:rsidR="002D33AF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Многострановой</w:t>
      </w:r>
      <w:proofErr w:type="spellEnd"/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грант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должен позволить правительствам 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ВЕЦА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повысить «спрос» на этот вид государственного финансирования, что приведет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 лучшей и более предсказуемой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поддержке со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стороны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соответствующих правительственных источников.</w:t>
      </w:r>
      <w:r w:rsidR="002D33AF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Это направление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работы может опираться на прогресс, достигнутый к настоящему времени «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бюджетной </w:t>
      </w:r>
      <w:proofErr w:type="spellStart"/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адвокацией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» в области профилактики ВИЧ среди ключевых групп населения.</w:t>
      </w:r>
    </w:p>
    <w:p w14:paraId="5D4C5127" w14:textId="77777777" w:rsidR="002D33AF" w:rsidRPr="00421034" w:rsidRDefault="002D33AF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5954C498" w14:textId="58D3E64A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 большинстве стран, получающих 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отдельные </w:t>
      </w:r>
      <w:proofErr w:type="spellStart"/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страновые</w:t>
      </w:r>
      <w:proofErr w:type="spellEnd"/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гранты </w:t>
      </w:r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 ВИЧ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, основная часть услуг по профилактике ВИЧ для ключевых групп населения финансируется за счет </w:t>
      </w:r>
      <w:proofErr w:type="spellStart"/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странового</w:t>
      </w:r>
      <w:proofErr w:type="spellEnd"/>
      <w:r w:rsidR="002D33AF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гранта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 ВИЧ.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От одного гранта к другому, обязательство правительства страны-получателя 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финансировать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эти услуги со временем не 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выработалось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  <w:r w:rsidR="00DA409D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r w:rsidR="00DA409D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ногострановой</w:t>
      </w:r>
      <w:proofErr w:type="spellEnd"/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DA409D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грант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может работать в странах с текущими и 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плановыми грантами Глобального Ф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онда для поддержк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 адвокации и нормат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ивной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lastRenderedPageBreak/>
        <w:t>работы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 разработке и реализации механизма совместного финансирования (т.е. 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от центральных/региональных/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муниципальных органов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власти и 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от ГФ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) </w:t>
      </w:r>
      <w:r w:rsidR="00DA409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услуг по ВИЧ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для ключевых групп населения.</w:t>
      </w:r>
    </w:p>
    <w:p w14:paraId="15A742E4" w14:textId="77777777" w:rsidR="00DA409D" w:rsidRPr="00421034" w:rsidRDefault="00DA409D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2406E7DE" w14:textId="1EBFF9E0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Некоторые из ВИЧ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услуг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уже 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покрываются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обязательным медицинским страхованием (например, тестирование на ВИЧ, ОЗТ, АРТ,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лечение туберкулеза, ВГС и т. д.), н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 опыт варьируется от страны к стране.</w:t>
      </w:r>
      <w:r w:rsidR="003D487D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r w:rsidR="003D487D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ногостранов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ой</w:t>
      </w:r>
      <w:proofErr w:type="spellEnd"/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проект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может работать в двух важных направлениях: а) первое, поддерживая дейс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твия по постепенному расширению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охвата медицинского страхования всех компонентов, которые</w:t>
      </w:r>
      <w:r w:rsidR="003D487D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настоящее время </w:t>
      </w:r>
      <w:r w:rsidR="00FC319A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находятся 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 «пакетах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услуг для ключевых групп населения», которые финансируются Глобал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ьным Ф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ондом, и б) помогать защищать права на здоровье мигрантов, включая внутренних мигрантов, людей без надлежащей регистрации, людей без 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полисов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медицинского страхования и </w:t>
      </w:r>
      <w:r w:rsidR="003D487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не граждан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 чьи права на охрану здоровья во многих отношениях нарушены.</w:t>
      </w:r>
    </w:p>
    <w:p w14:paraId="037A0F0B" w14:textId="77777777" w:rsidR="003D487D" w:rsidRPr="00421034" w:rsidRDefault="003D487D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37F9F1A9" w14:textId="2F795747" w:rsidR="00A670B8" w:rsidRPr="00421034" w:rsidRDefault="007559F6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Успешность</w:t>
      </w:r>
      <w:r w:rsidR="00FD7F8E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в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Подобласти I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можно измерять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такими показателями 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(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не исчерпывающий список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):</w:t>
      </w:r>
    </w:p>
    <w:p w14:paraId="0AB8BB36" w14:textId="744AFE14" w:rsidR="00A670B8" w:rsidRPr="00421034" w:rsidRDefault="007559F6" w:rsidP="007559F6">
      <w:pPr>
        <w:pStyle w:val="a3"/>
        <w:numPr>
          <w:ilvl w:val="0"/>
          <w:numId w:val="2"/>
        </w:numPr>
        <w:spacing w:before="0" w:beforeAutospacing="0" w:after="26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оличество механизмов для получения государственного финансирования и общая сумма, которую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неправительственные поставщики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услуг получают каждый год в каждой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проектной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стране для предоставления услуг по ВИЧ для ключевых групп населения;</w:t>
      </w:r>
    </w:p>
    <w:p w14:paraId="5B182B1D" w14:textId="55AE8E7E" w:rsidR="007559F6" w:rsidRPr="00421034" w:rsidRDefault="007559F6" w:rsidP="007559F6">
      <w:pPr>
        <w:pStyle w:val="a3"/>
        <w:numPr>
          <w:ilvl w:val="0"/>
          <w:numId w:val="2"/>
        </w:numPr>
        <w:spacing w:before="0" w:beforeAutospacing="0" w:after="0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Примеры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суммы (на национальном или </w:t>
      </w:r>
      <w:r w:rsidR="00FC319A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региональном,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или муниципальном уровне) совместного финансирования услуг по профилактике ВИЧ для ключевых групп населения в каждой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проектной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стране каждый год;</w:t>
      </w:r>
    </w:p>
    <w:p w14:paraId="579BD18F" w14:textId="2D511FA4" w:rsidR="00A670B8" w:rsidRPr="00421034" w:rsidRDefault="00A670B8" w:rsidP="007559F6">
      <w:pPr>
        <w:pStyle w:val="a3"/>
        <w:numPr>
          <w:ilvl w:val="0"/>
          <w:numId w:val="2"/>
        </w:numPr>
        <w:spacing w:before="0" w:beforeAutospacing="0" w:after="0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Новые элементы ВИЧ-услуг, которые добавлены в список услуг,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покрываемых обязательным медицинским страхованием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 каждой 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проектной стране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</w:p>
    <w:p w14:paraId="0FC32D39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4DAAA81E" w14:textId="1AC6409B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Соответствующие виды деятельности в Под</w:t>
      </w:r>
      <w:r w:rsidR="007559F6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области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I могут включать (но не должны ограничиваться):</w:t>
      </w:r>
    </w:p>
    <w:p w14:paraId="27005A85" w14:textId="395BB683" w:rsidR="00A670B8" w:rsidRPr="00421034" w:rsidRDefault="00F85F70" w:rsidP="007559F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азработка/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пересмотр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оцененного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стандартного пакета услуг (соизмеримых с 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локальными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рыночными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ценами в проектных странах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);</w:t>
      </w:r>
    </w:p>
    <w:p w14:paraId="539D6F11" w14:textId="0A714F44" w:rsidR="00A670B8" w:rsidRPr="00421034" w:rsidRDefault="00F85F70" w:rsidP="007559F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азработка/пересмотр</w:t>
      </w:r>
      <w:r w:rsidR="007559F6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соо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тветствующих местных «отраслевых стандартов» предоставления ВИЧ-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услуг для ключевых групп населения (в локально приемлемых форматах);</w:t>
      </w:r>
    </w:p>
    <w:p w14:paraId="59BAB558" w14:textId="6B08DA18" w:rsidR="00A670B8" w:rsidRPr="00421034" w:rsidRDefault="00F85F70" w:rsidP="007559F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остижение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соглашения между соответствующими муниципальным /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региональным правительством и неправительственными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заинтересованными сторонами </w:t>
      </w:r>
      <w:r w:rsidR="007559F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 составе «пакета» и его стоимости и т.д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.;</w:t>
      </w:r>
    </w:p>
    <w:p w14:paraId="6ACBC676" w14:textId="16A19F02" w:rsidR="00A670B8" w:rsidRPr="00421034" w:rsidRDefault="007559F6" w:rsidP="007559F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построение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компетенции как правит</w:t>
      </w:r>
      <w:r w:rsidR="0012286A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ельственных, так 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неправительственных заинтересованных сторон в разработке соответствующих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ТЗ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12286A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субсидий, грантов и т.д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.;</w:t>
      </w:r>
    </w:p>
    <w:p w14:paraId="416219C9" w14:textId="05285A9E" w:rsidR="0012286A" w:rsidRPr="00421034" w:rsidRDefault="0012286A" w:rsidP="0012286A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наращивание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потенциала местных органов власти, медицинских страховых компаний,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подразделений Национальной программы противодействия СПИДу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 центральных органов власти и т.д. орган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изовывать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планирование, реализацию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МиО</w:t>
      </w:r>
      <w:proofErr w:type="spellEnd"/>
      <w:proofErr w:type="gramEnd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, надзор, контроль 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осуществления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услуг,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финансируемых из местного/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внутреннего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источника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силами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НПО;</w:t>
      </w:r>
    </w:p>
    <w:p w14:paraId="040E9EBF" w14:textId="0F5DB996" w:rsidR="00A670B8" w:rsidRPr="00421034" w:rsidRDefault="0012286A" w:rsidP="0012286A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обмен уместной передовой практикой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ежду поставщиками услуг и властями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проектных странах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(и за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их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пределами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);</w:t>
      </w:r>
    </w:p>
    <w:p w14:paraId="3FECBDE2" w14:textId="30F397A1" w:rsidR="00A670B8" w:rsidRPr="00421034" w:rsidRDefault="0012286A" w:rsidP="007559F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оддержка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групп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пациентов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выступать за соответствующее изменение в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покрытии медицинской страховки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531CB897" w14:textId="274496C3" w:rsidR="0003256F" w:rsidRPr="00421034" w:rsidRDefault="0012286A" w:rsidP="00FD7F8E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установка и запуск банков АРВ-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препаратов (в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том числе закупка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соответствующего уровня правовой поддержки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для операций банков АРВ-препаратов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);</w:t>
      </w:r>
    </w:p>
    <w:p w14:paraId="657D9211" w14:textId="6C0C05C8" w:rsidR="00A670B8" w:rsidRPr="00421034" w:rsidRDefault="0003256F" w:rsidP="0003256F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установка стандартов для служб-субподрядчиков</w:t>
      </w:r>
      <w:r w:rsidR="003C636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медицинской страховки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1D597D81" w14:textId="2E13739D" w:rsidR="00A670B8" w:rsidRPr="00421034" w:rsidRDefault="003C6368" w:rsidP="003C6368">
      <w:pPr>
        <w:pStyle w:val="a3"/>
        <w:numPr>
          <w:ilvl w:val="0"/>
          <w:numId w:val="2"/>
        </w:numPr>
        <w:spacing w:before="0" w:beforeAutospacing="0" w:after="0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оддержка стран с DRG (</w:t>
      </w:r>
      <w:proofErr w:type="spellStart"/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диагностически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связанные группы) услуг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ами/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расчет стоимости единицы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чтобы стать субподрядчиком мед</w:t>
      </w:r>
      <w:r w:rsidR="00AC2A60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цинского страхового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фонд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</w:p>
    <w:p w14:paraId="0D3083DA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193EE856" w14:textId="44A1B8DD" w:rsidR="00A670B8" w:rsidRPr="00421034" w:rsidRDefault="00747B7F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lastRenderedPageBreak/>
        <w:t>Подобласть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II: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D907F1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У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стойчивый доступ к недорогим АРВ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-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препаратам и другим товарам </w:t>
      </w:r>
      <w:r w:rsidR="00EB243D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в сфере 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ВИЧ гарантированного качества</w:t>
      </w:r>
    </w:p>
    <w:p w14:paraId="6507D30B" w14:textId="77777777" w:rsidR="00AC2A60" w:rsidRPr="00421034" w:rsidRDefault="00AC2A60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1D63F02E" w14:textId="70BE2C19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Обоснование: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аны ВЕЦА продолжают платить одну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из самых высоких цен 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за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АРВ-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терапию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среди стран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со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средним уровнем дохода, в то же время обеспечивая низкий охват людей на лечение.</w:t>
      </w:r>
      <w:r w:rsidR="00D907F1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Расширение доступа к АРТ на 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основе новых рекомендаций ВОЗ «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тестируй и лечи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» будет иметь значительные финансовые последствия для ответа на ВИЧ во всех странах региона.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Поскольку страны ВЕЦА участвуют в планировании расширения масштабов АРВ-препаратов через внутренние источники для прекращения эпидемий,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сегодня,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становится критически важным дальнейшее снижение цен на 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АРВ-препараты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Снижение цен на АРВ можно достичь путем согласования </w:t>
      </w:r>
      <w:proofErr w:type="spellStart"/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страновых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правил 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 соответствии со стандартами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управления цепочкой поставок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(PSM), включая международные механизмы закупок, 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стимулирование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ме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стного производства и укрепление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национального потенциала в области PSM.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Опции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комбинированной закупки АРВ-препаратов для группы стран не изучались, например, в рамках Евразийского экономического союза.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Аналогичные подходы должны быть изучены для покупки других товаров 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по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ВИЧ (презервативы, товары снижения вреда, 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наборы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тест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</w:t>
      </w:r>
      <w:r w:rsidR="00D907F1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D907F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ВИЧ, реагенты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т.д.).</w:t>
      </w:r>
    </w:p>
    <w:p w14:paraId="7D828C36" w14:textId="77777777" w:rsidR="00D907F1" w:rsidRPr="00421034" w:rsidRDefault="00D907F1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4331F108" w14:textId="703F83CA" w:rsidR="001B3BE6" w:rsidRPr="00421034" w:rsidRDefault="001B3BE6" w:rsidP="001B3BE6">
      <w:pPr>
        <w:pStyle w:val="a3"/>
        <w:spacing w:before="0" w:beforeAutospacing="0" w:after="0" w:afterAutospacing="0"/>
        <w:rPr>
          <w:rFonts w:ascii="Georgia" w:hAnsi="Georgia"/>
          <w:i/>
          <w:i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Успешность</w:t>
      </w:r>
      <w:r w:rsidR="00FD7F8E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в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Подобласти I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</w:rPr>
        <w:t>I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можно измерять такими показателями (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не исчерпывающий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список):</w:t>
      </w:r>
    </w:p>
    <w:p w14:paraId="460AA3DE" w14:textId="6B51B84E" w:rsidR="00A670B8" w:rsidRPr="00421034" w:rsidRDefault="00A670B8" w:rsidP="001B3BE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Соотношение средней цены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закупленных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продуктов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и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международного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среднего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опорного значения</w:t>
      </w:r>
    </w:p>
    <w:p w14:paraId="213D5471" w14:textId="5D7A776C" w:rsidR="00A670B8" w:rsidRPr="00421034" w:rsidRDefault="00A670B8" w:rsidP="001B3BE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Число стран с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разработанной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национальной стратегией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</w:rPr>
        <w:t>PSM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и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действующей информационной системой управления логистикой (LMIS) </w:t>
      </w:r>
    </w:p>
    <w:p w14:paraId="48DD2FE4" w14:textId="2EF92B9A" w:rsidR="00A670B8" w:rsidRPr="00421034" w:rsidRDefault="001B3BE6" w:rsidP="001B3BE6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Количество стран, принявших подход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«лечить все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х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» </w:t>
      </w:r>
    </w:p>
    <w:p w14:paraId="68832A8C" w14:textId="6092E030" w:rsidR="00A670B8" w:rsidRPr="00421034" w:rsidRDefault="00A670B8" w:rsidP="001B3BE6">
      <w:pPr>
        <w:pStyle w:val="a3"/>
        <w:numPr>
          <w:ilvl w:val="0"/>
          <w:numId w:val="2"/>
        </w:numPr>
        <w:spacing w:before="0" w:beforeAutospacing="0" w:after="0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Количество и доля товаров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для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профилактики ВИЧ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покрытых государственным бюджетом</w:t>
      </w:r>
    </w:p>
    <w:p w14:paraId="0B042C35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3A209D95" w14:textId="1D772AA0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Соответствующие виды деятельности в </w:t>
      </w:r>
      <w:r w:rsidR="001B3BE6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Подобласти I</w:t>
      </w:r>
      <w:r w:rsidR="001B3BE6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</w:rPr>
        <w:t>I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могут включать (но не должны ограничиваться):</w:t>
      </w:r>
    </w:p>
    <w:p w14:paraId="104A3D0A" w14:textId="72C3920B" w:rsidR="00A670B8" w:rsidRPr="00421034" w:rsidRDefault="001B3BE6" w:rsidP="001B3BE6">
      <w:pPr>
        <w:pStyle w:val="a3"/>
        <w:numPr>
          <w:ilvl w:val="0"/>
          <w:numId w:val="2"/>
        </w:numPr>
        <w:spacing w:before="0" w:beforeAutospacing="0" w:after="4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Пропаганда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принятия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подхода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«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тестируй и лечи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»;</w:t>
      </w:r>
    </w:p>
    <w:p w14:paraId="0DAE70B7" w14:textId="77777777" w:rsidR="001B3BE6" w:rsidRPr="00421034" w:rsidRDefault="001B3BE6" w:rsidP="001B3BE6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Адвокация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пересмотра и совершенствования нормативно-правовой базы системы PSM;</w:t>
      </w:r>
    </w:p>
    <w:p w14:paraId="0D226851" w14:textId="58432589" w:rsidR="001B3BE6" w:rsidRPr="00421034" w:rsidRDefault="001B3BE6" w:rsidP="001B3BE6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Адвокация</w:t>
      </w:r>
      <w:proofErr w:type="spellEnd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раз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работки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единой </w:t>
      </w:r>
      <w:proofErr w:type="spellStart"/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страновой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стратегии </w:t>
      </w:r>
      <w:r w:rsidRPr="00421034">
        <w:rPr>
          <w:rStyle w:val="notranslate"/>
          <w:rFonts w:ascii="Georgia" w:hAnsi="Georgia"/>
          <w:color w:val="000000"/>
          <w:sz w:val="22"/>
          <w:szCs w:val="22"/>
        </w:rPr>
        <w:t>PSM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2A79FC65" w14:textId="77777777" w:rsidR="001B3BE6" w:rsidRPr="00421034" w:rsidRDefault="00A670B8" w:rsidP="001B3BE6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Поддержка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 создании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1B3BE6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комплексной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единой LMIS для количественной оценки и отчетности</w:t>
      </w:r>
    </w:p>
    <w:p w14:paraId="02B7B1B4" w14:textId="77777777" w:rsidR="001B44A0" w:rsidRPr="00421034" w:rsidRDefault="001B3BE6" w:rsidP="001B44A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азвитие потенциала правительства и гражданского общества,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ответственных за различные функции</w:t>
      </w:r>
      <w:r w:rsidR="001B44A0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1B44A0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PSM</w:t>
      </w:r>
      <w:r w:rsidR="001B44A0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цикла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0371E737" w14:textId="77777777" w:rsidR="001B44A0" w:rsidRPr="00421034" w:rsidRDefault="001B44A0" w:rsidP="00A670B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Развитие потенциала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организаций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гражданского общества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по мониторингу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осуществления закупок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АРВ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-препаратов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других ВИЧ товаров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, а также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цен;</w:t>
      </w:r>
    </w:p>
    <w:p w14:paraId="12FBB5E9" w14:textId="10D4C6D7" w:rsidR="00A670B8" w:rsidRPr="00421034" w:rsidRDefault="00A670B8" w:rsidP="00A670B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Поддержка и оснащение заинтересованных сторон средствами и навыками</w:t>
      </w:r>
      <w:r w:rsidR="001B44A0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для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1B44A0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ведения переговоров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 патентными производителями, п</w:t>
      </w:r>
      <w:r w:rsidR="001B44A0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оставщиками и патентообладателями.</w:t>
      </w:r>
    </w:p>
    <w:p w14:paraId="5D7E6E7B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56613F6C" w14:textId="2D8207EB" w:rsidR="00A670B8" w:rsidRPr="00421034" w:rsidRDefault="00904A99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Подобласт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ь 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III: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Снижение стигмы и дискриминации</w:t>
      </w:r>
      <w:r w:rsidR="00A670B8" w:rsidRPr="00421034">
        <w:rPr>
          <w:rStyle w:val="notranslate"/>
          <w:rFonts w:ascii="Georgia" w:hAnsi="Georgia"/>
          <w:b/>
          <w:bCs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в</w:t>
      </w:r>
      <w:r w:rsidR="00A670B8" w:rsidRPr="00421034">
        <w:rPr>
          <w:rStyle w:val="notranslate"/>
          <w:rFonts w:ascii="Georgia" w:hAnsi="Georgia"/>
          <w:b/>
          <w:bCs/>
          <w:sz w:val="22"/>
          <w:szCs w:val="22"/>
        </w:rPr>
        <w:t> </w:t>
      </w:r>
      <w:r w:rsidR="005302D5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 xml:space="preserve">отношении ключевых 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групп населения</w:t>
      </w:r>
    </w:p>
    <w:p w14:paraId="1AFF9D19" w14:textId="77777777" w:rsidR="00904A99" w:rsidRPr="00421034" w:rsidRDefault="00904A99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b/>
          <w:bCs/>
          <w:sz w:val="22"/>
          <w:szCs w:val="22"/>
          <w:lang w:val="ru-RU"/>
        </w:rPr>
      </w:pPr>
    </w:p>
    <w:p w14:paraId="6BCAEACC" w14:textId="67247299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Обоснование: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Стигма и дискриминация 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по отношению к ВИЧ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представляют собой серьезное препятствие для людей,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живущих с ВИЧ, 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доступ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е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профилактике ВИЧ-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инфекции, лечению и поддержке.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результате стигмы и дискриминации, или страх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перед ним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 ключевые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группы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населения не хотят раскрывать свой статус и сле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дить за результатами тестирования/обследования/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медицинских осмотров, даже если они имеют доступ к услугам.</w:t>
      </w:r>
      <w:r w:rsidR="005302D5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Кроме того, во многих странах региона существуют законы и новые попытки (например, Кыргызстан, Беларусь, Украина, Россия, Таджикистан)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lastRenderedPageBreak/>
        <w:t>ввести более суровые наказания за уп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отребление наркотиков и обладание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небольшим количеством незаконных наркотиков, а та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кже для секс-бизнеса, попытки криминализации </w:t>
      </w:r>
      <w:bookmarkStart w:id="0" w:name="_GoBack"/>
      <w:bookmarkEnd w:id="0"/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однополых отношений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(часто под предлогом защиты несовершеннолетних) и т. д. Хотя такое законодательство 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напрямую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не запрещает предоставление услуг по профилактике ВИЧ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-инфе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ции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среди ключевых групп населения, было доказано, что это является серьезным препятствием для 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основных групп населения стремиться получать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услуг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и в связи с ВИЧ-инфекцией. </w:t>
      </w:r>
      <w:proofErr w:type="spellStart"/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Многострановой</w:t>
      </w:r>
      <w:proofErr w:type="spellEnd"/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г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рант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может 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оснастить соответствующие сети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активист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ов ресурсами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для </w:t>
      </w:r>
      <w:r w:rsidR="005302D5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мониторинга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 вмешательства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случае необходимости.</w:t>
      </w:r>
      <w:r w:rsidR="00F407F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Один из возможных видов вмешательства может быть творчески задействован в социальных сетях как движущ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ей силы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соответствующих социальных изменений.</w:t>
      </w:r>
    </w:p>
    <w:p w14:paraId="7C4D426D" w14:textId="77777777" w:rsidR="00F407F8" w:rsidRPr="00421034" w:rsidRDefault="00F407F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3315B9C0" w14:textId="5063B3BF" w:rsidR="00F407F8" w:rsidRPr="00421034" w:rsidRDefault="00F407F8" w:rsidP="00F407F8">
      <w:pPr>
        <w:pStyle w:val="a3"/>
        <w:spacing w:before="0" w:beforeAutospacing="0" w:after="0" w:afterAutospacing="0"/>
        <w:rPr>
          <w:rFonts w:ascii="Georgia" w:hAnsi="Georgia"/>
          <w:i/>
          <w:i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Успешность</w:t>
      </w:r>
      <w:r w:rsidR="00FD7F8E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в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Подобласти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</w:rPr>
        <w:t>I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I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</w:rPr>
        <w:t>I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можно измерять такими показателями (не исчерпывающий список):</w:t>
      </w:r>
    </w:p>
    <w:p w14:paraId="76F1E6B9" w14:textId="500B39F1" w:rsidR="00A670B8" w:rsidRPr="00421034" w:rsidRDefault="00F407F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Попытки введения «консервативного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» законодательство,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которые были успешно заблокированы;</w:t>
      </w:r>
    </w:p>
    <w:p w14:paraId="392D3C65" w14:textId="3E766293" w:rsidR="00A670B8" w:rsidRPr="00421034" w:rsidRDefault="00F407F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Дискредитирующие законы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 были отменены;</w:t>
      </w:r>
    </w:p>
    <w:p w14:paraId="1772CBD4" w14:textId="7A158C6D" w:rsidR="00A670B8" w:rsidRPr="00421034" w:rsidRDefault="00A670B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Новые законодательные или нормативные акты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 декриминализации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подход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ам</w:t>
      </w:r>
      <w:r w:rsidR="002A7752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 области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общественного здравоохранения в отношении ключевых групп населения;</w:t>
      </w:r>
    </w:p>
    <w:p w14:paraId="2A025564" w14:textId="278A16D4" w:rsidR="00A670B8" w:rsidRPr="00421034" w:rsidRDefault="00A670B8" w:rsidP="00F407F8">
      <w:pPr>
        <w:pStyle w:val="a3"/>
        <w:numPr>
          <w:ilvl w:val="0"/>
          <w:numId w:val="2"/>
        </w:numPr>
        <w:spacing w:before="0" w:beforeAutospacing="0" w:after="0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%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ЛЖВ сообщают доброжелательное отношение в медицинских учреждениях.</w:t>
      </w:r>
    </w:p>
    <w:p w14:paraId="36929AD8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314B2F2E" w14:textId="11BAC7F9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Соответствующи</w:t>
      </w:r>
      <w:r w:rsidR="00F407F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е виды деятельности в Подобласти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III могут включать, но не должны ограничиваться:</w:t>
      </w:r>
    </w:p>
    <w:p w14:paraId="2C5DC1F7" w14:textId="1119594A" w:rsidR="00A670B8" w:rsidRPr="00421034" w:rsidRDefault="00F407F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Поддержка гражданских групп/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ключевых групп населения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выполнении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функции </w:t>
      </w:r>
      <w:r w:rsidRPr="00421034">
        <w:rPr>
          <w:rStyle w:val="notranslate"/>
          <w:rFonts w:ascii="Georgia" w:hAnsi="Georgia"/>
          <w:color w:val="000000"/>
          <w:sz w:val="22"/>
          <w:szCs w:val="22"/>
        </w:rPr>
        <w:t>watchdog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23E6FACC" w14:textId="3F24C584" w:rsidR="00A670B8" w:rsidRPr="00421034" w:rsidRDefault="00A670B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Поддержка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proofErr w:type="spellStart"/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страновых</w:t>
      </w:r>
      <w:proofErr w:type="spellEnd"/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групп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активистов ресурсами дл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я оплаты экспертизы, юридической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поддержки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="00F407F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для доведения конкретных дел до суда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6F302452" w14:textId="31796C0A" w:rsidR="00A670B8" w:rsidRPr="00421034" w:rsidRDefault="00F407F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Адвокационные</w:t>
      </w:r>
      <w:proofErr w:type="spellEnd"/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ком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муникационные кампании (напр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направленность на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членов парл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амента, членов н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ационального совета здравоохранения, а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также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других соответствующих органов)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целях с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одействия антидискриминационному законодательству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24EE512E" w14:textId="0FFF6440" w:rsidR="00A670B8" w:rsidRPr="00421034" w:rsidRDefault="00A670B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Информационные кампании по повышению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информированности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общества и формированию позитивного отношения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 ВИЧ-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инфицированным и другим КГН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;</w:t>
      </w:r>
    </w:p>
    <w:p w14:paraId="65AD210F" w14:textId="66193F58" w:rsidR="00A670B8" w:rsidRPr="00421034" w:rsidRDefault="00A670B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Документация и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обмен передовым опытом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 этой области;</w:t>
      </w:r>
    </w:p>
    <w:p w14:paraId="3DDA2400" w14:textId="36F2813A" w:rsidR="00A670B8" w:rsidRPr="00421034" w:rsidRDefault="00C01921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Наращивание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потенциала правоохранительных органов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целью минимизации негативных практик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отношению к ключевым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группам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населения в стране;</w:t>
      </w:r>
    </w:p>
    <w:p w14:paraId="74A3EEE3" w14:textId="4229DF5B" w:rsidR="00A670B8" w:rsidRPr="00421034" w:rsidRDefault="00A670B8" w:rsidP="00F407F8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Тренинги для медицинских работников</w:t>
      </w:r>
      <w:r w:rsidR="00C01921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чтобы свести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минимуму дискриминацию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</w:t>
      </w:r>
      <w:r w:rsidR="00C01921" w:rsidRPr="00421034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отношению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 КГН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ВИЧ-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инфицированным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</w:p>
    <w:p w14:paraId="501060F7" w14:textId="77777777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Fonts w:ascii="Georgia" w:hAnsi="Georgia"/>
          <w:color w:val="000000"/>
          <w:sz w:val="22"/>
          <w:szCs w:val="22"/>
          <w:lang w:val="ru-RU"/>
        </w:rPr>
        <w:t> </w:t>
      </w:r>
    </w:p>
    <w:p w14:paraId="1F64D027" w14:textId="401A94D2" w:rsidR="00A670B8" w:rsidRPr="00421034" w:rsidRDefault="00C01921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Подобласть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IV:</w:t>
      </w:r>
      <w:r w:rsidR="00A670B8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A670B8" w:rsidRPr="00421034">
        <w:rPr>
          <w:rStyle w:val="notranslate"/>
          <w:rFonts w:ascii="Georgia" w:hAnsi="Georgia"/>
          <w:b/>
          <w:bCs/>
          <w:color w:val="000000"/>
          <w:sz w:val="22"/>
          <w:szCs w:val="22"/>
          <w:lang w:val="ru-RU"/>
        </w:rPr>
        <w:t>Повышение эффективности моделей предоставления услуг по ВИЧ для ключевых групп населения</w:t>
      </w:r>
    </w:p>
    <w:p w14:paraId="56CC0EEF" w14:textId="77777777" w:rsidR="00C01921" w:rsidRPr="00421034" w:rsidRDefault="00C01921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7082B1CF" w14:textId="5BE15F73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Обоснование: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работа по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эффективности распределения ресурсов в сфере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ВИЧ лишь частично реализована в некоторых странах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ВЕЦА в 2014 - 2016 гг.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, но все участвующие страны сочли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это полезным приемом для информирования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распределении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национальных и донорских средств.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="00C01921" w:rsidRPr="00421034">
        <w:rPr>
          <w:rFonts w:ascii="Georgia" w:hAnsi="Georgia"/>
          <w:color w:val="000000"/>
          <w:sz w:val="22"/>
          <w:szCs w:val="22"/>
          <w:lang w:val="ru-RU"/>
        </w:rPr>
        <w:t>Эффективность распределения ресурсов</w:t>
      </w:r>
      <w:r w:rsidRPr="00421034">
        <w:rPr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национальных программ по СПИДу сомнительна.</w:t>
      </w:r>
      <w:r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Эффективность программы не была последовательно решена в регионе.</w:t>
      </w:r>
      <w:r w:rsidR="00C01921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Мало данных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о том, насколько эффективны модели обслуживания, которые в настоящее время находятся н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 «рынке» (принимают «</w:t>
      </w:r>
      <w:proofErr w:type="spellStart"/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самооценённую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» эффективности.) Большинство моделей также выглядят 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дорогостоящими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.</w:t>
      </w:r>
    </w:p>
    <w:p w14:paraId="0308F176" w14:textId="77777777" w:rsidR="00C01921" w:rsidRPr="00421034" w:rsidRDefault="00C01921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60EC5459" w14:textId="698C0696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Улучшенный доступ к услугам по тестированию на 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ВИЧ особенно важен для ключевых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групп населения с более высокими рисками, которые сталкиваются с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lastRenderedPageBreak/>
        <w:t xml:space="preserve">ограниченным доступом к государственным медицинским учреждениям,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где проводиться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тестирование на ВИЧ.</w:t>
      </w:r>
      <w:r w:rsidR="00C01921" w:rsidRPr="00421034">
        <w:rPr>
          <w:rStyle w:val="apple-converted-spac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Существует настоятельная необходимость устранения барьеров на пути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 охвату программами тестирования на ВИЧ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ключевых групп населения </w:t>
      </w:r>
      <w:r w:rsidR="00C01921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высокого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риска.</w:t>
      </w:r>
    </w:p>
    <w:p w14:paraId="53D8185F" w14:textId="77777777" w:rsidR="00C01921" w:rsidRPr="00421034" w:rsidRDefault="00C01921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27A4D4CB" w14:textId="3D96A22E" w:rsidR="00FD7F8E" w:rsidRPr="00421034" w:rsidRDefault="00FD7F8E" w:rsidP="00FD7F8E">
      <w:pPr>
        <w:pStyle w:val="a3"/>
        <w:spacing w:before="0" w:beforeAutospacing="0" w:after="0" w:afterAutospacing="0"/>
        <w:rPr>
          <w:rFonts w:ascii="Georgia" w:hAnsi="Georgia"/>
          <w:i/>
          <w:i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Успешность в Подобласти</w:t>
      </w:r>
      <w:r w:rsidR="00A670B8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IV 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можно измерять такими показателями (не исчерпывающий список):</w:t>
      </w:r>
    </w:p>
    <w:p w14:paraId="656CC7CD" w14:textId="2E44FCD9" w:rsidR="00A670B8" w:rsidRPr="00421034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1939EBC7" w14:textId="31ECED98" w:rsidR="00A670B8" w:rsidRPr="00421034" w:rsidRDefault="00A670B8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Доля 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ЛЖВ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идентифицирован</w:t>
      </w:r>
      <w:r w:rsidR="00F85F70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ных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через ВИЧ-услуг</w:t>
      </w:r>
      <w:r w:rsidR="00DB5F3D" w:rsidRPr="00421034">
        <w:rPr>
          <w:rStyle w:val="notranslate"/>
          <w:rFonts w:ascii="Georgia" w:hAnsi="Georgia"/>
          <w:sz w:val="22"/>
          <w:szCs w:val="22"/>
          <w:lang w:val="ru-RU"/>
        </w:rPr>
        <w:t>и силами сообществ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через 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самотестирование, и 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перенаправление на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оказание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помощи</w:t>
      </w:r>
    </w:p>
    <w:p w14:paraId="5E16DEC6" w14:textId="4A74599F" w:rsidR="00A670B8" w:rsidRPr="00421034" w:rsidRDefault="00DB5F3D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Количество НПО, инициировавших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услуги по лечению ВИЧ-инфекции для КГН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 базе сообществ.</w:t>
      </w:r>
    </w:p>
    <w:p w14:paraId="2E6D3596" w14:textId="250C9483" w:rsidR="00A670B8" w:rsidRPr="00421034" w:rsidRDefault="00A670B8" w:rsidP="00DB5F3D">
      <w:pPr>
        <w:pStyle w:val="a3"/>
        <w:spacing w:before="0" w:beforeAutospacing="0" w:after="4" w:afterAutospacing="0"/>
        <w:ind w:left="426"/>
        <w:rPr>
          <w:rStyle w:val="notranslate"/>
          <w:rFonts w:ascii="Georgia" w:hAnsi="Georgia"/>
          <w:sz w:val="22"/>
          <w:szCs w:val="22"/>
          <w:lang w:val="ru-RU"/>
        </w:rPr>
      </w:pPr>
    </w:p>
    <w:p w14:paraId="2EAD854C" w14:textId="603AA54A" w:rsidR="00A670B8" w:rsidRPr="00421034" w:rsidRDefault="00A670B8" w:rsidP="00A670B8">
      <w:pPr>
        <w:pStyle w:val="a3"/>
        <w:spacing w:before="0" w:beforeAutospacing="0" w:after="0" w:afterAutospacing="0"/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Соответствующ</w:t>
      </w:r>
      <w:r w:rsidR="00DB5F3D"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>ие виды деятельности в Подобласти</w:t>
      </w:r>
      <w:r w:rsidRPr="00421034">
        <w:rPr>
          <w:rStyle w:val="notranslate"/>
          <w:rFonts w:ascii="Georgia" w:hAnsi="Georgia"/>
          <w:i/>
          <w:iCs/>
          <w:color w:val="000000"/>
          <w:sz w:val="22"/>
          <w:szCs w:val="22"/>
          <w:lang w:val="ru-RU"/>
        </w:rPr>
        <w:t xml:space="preserve"> IV могут включать (но не должны ограничиваться):</w:t>
      </w:r>
    </w:p>
    <w:p w14:paraId="44E3E398" w14:textId="77777777" w:rsidR="00DB5F3D" w:rsidRPr="00421034" w:rsidRDefault="00DB5F3D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sz w:val="22"/>
          <w:szCs w:val="22"/>
          <w:lang w:val="ru-RU"/>
        </w:rPr>
      </w:pPr>
    </w:p>
    <w:p w14:paraId="51DF8B3A" w14:textId="5B6157E9" w:rsidR="00A670B8" w:rsidRPr="00421034" w:rsidRDefault="00DB5F3D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сследования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 эффективности распределения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ресурсов в сфере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ВИЧ;</w:t>
      </w:r>
    </w:p>
    <w:p w14:paraId="07ED0904" w14:textId="23BF12BA" w:rsidR="00A670B8" w:rsidRPr="00421034" w:rsidRDefault="00A670B8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Оценка технической эффективности существующих моделей </w:t>
      </w:r>
      <w:r w:rsidR="002A7752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>-</w:t>
      </w:r>
      <w:r w:rsidR="002A7752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услуг,</w:t>
      </w:r>
      <w:r w:rsidR="002A7752" w:rsidRPr="002A7752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предоставляемых 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ключевым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групп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ам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населения;</w:t>
      </w:r>
    </w:p>
    <w:p w14:paraId="2B7F82DF" w14:textId="3551C098" w:rsidR="00A670B8" w:rsidRPr="00421034" w:rsidRDefault="00A670B8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Сбор данных о 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сильном влиянии услуг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профилактики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ВИЧ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-инфекции в ВЕЦА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с особым акцентом на 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передачу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в ключевых группах населения;</w:t>
      </w:r>
    </w:p>
    <w:p w14:paraId="55CC6320" w14:textId="7BAAA786" w:rsidR="00A670B8" w:rsidRPr="00421034" w:rsidRDefault="00A670B8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Расширение различных моделей тестирования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ВИЧ, включая тестирование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на 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базе сообществ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="00DB5F3D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тем самым способствуя раннему доступу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к услугам</w:t>
      </w:r>
      <w:r w:rsidR="002A7752" w:rsidRPr="002A7752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</w:t>
      </w:r>
      <w:r w:rsidR="002A7752" w:rsidRPr="002A7752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уходу</w:t>
      </w:r>
      <w:r w:rsidR="002A7752" w:rsidRPr="002A7752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за</w:t>
      </w:r>
      <w:r w:rsidR="002A7752" w:rsidRPr="002A7752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ВИЧ;</w:t>
      </w:r>
    </w:p>
    <w:p w14:paraId="1D03B2B8" w14:textId="67CD24B8" w:rsidR="00A670B8" w:rsidRPr="00421034" w:rsidRDefault="00A670B8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Интеграция услуг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тестированию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 в более широкую систему здравоохранения,</w:t>
      </w:r>
      <w:r w:rsidR="002A7752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8B5599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включая туберкулез, репродуктивное здоровье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, </w:t>
      </w:r>
      <w:r w:rsidR="008B5599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первичную медицинскую помощь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и услуги ИППП;</w:t>
      </w:r>
    </w:p>
    <w:p w14:paraId="31EC0C7E" w14:textId="6951BFE8" w:rsidR="00A670B8" w:rsidRPr="00421034" w:rsidRDefault="00A670B8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Гранты для НПО</w:t>
      </w:r>
      <w:r w:rsidR="008B5599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по подготовке документов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,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="008B5599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необходимых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для тестирования</w:t>
      </w:r>
      <w:r w:rsidR="002A7752" w:rsidRPr="002A7752">
        <w:rPr>
          <w:rStyle w:val="notranslate"/>
          <w:rFonts w:ascii="Georgia" w:hAnsi="Georgia"/>
          <w:sz w:val="22"/>
          <w:szCs w:val="22"/>
          <w:lang w:val="ru-RU"/>
        </w:rPr>
        <w:t xml:space="preserve"> 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на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ВИЧ среди ключевых групп населения и реализация наращивания потенциала и консультирования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по</w:t>
      </w:r>
      <w:r w:rsidRPr="00421034">
        <w:rPr>
          <w:rStyle w:val="notranslate"/>
          <w:rFonts w:ascii="Georgia" w:hAnsi="Georgia"/>
          <w:sz w:val="22"/>
          <w:szCs w:val="22"/>
        </w:rPr>
        <w:t> 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вопросам ВИЧ и тестирования услуг в стране;</w:t>
      </w:r>
    </w:p>
    <w:p w14:paraId="47A81AD6" w14:textId="49603712" w:rsidR="00A670B8" w:rsidRPr="00421034" w:rsidRDefault="008B5599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proofErr w:type="spellStart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Адвокация</w:t>
      </w:r>
      <w:proofErr w:type="spellEnd"/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 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ДКП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(возможно,</w:t>
      </w:r>
      <w:r w:rsidR="00A670B8" w:rsidRPr="00421034">
        <w:rPr>
          <w:rStyle w:val="notranslate"/>
          <w:rFonts w:ascii="Georgia" w:hAnsi="Georgia"/>
          <w:sz w:val="22"/>
          <w:szCs w:val="22"/>
        </w:rPr>
        <w:t> 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технико-экономическое обоснование в группе стран);</w:t>
      </w:r>
    </w:p>
    <w:p w14:paraId="171A4E26" w14:textId="493F0437" w:rsidR="00A670B8" w:rsidRPr="00421034" w:rsidRDefault="00DD0DB7" w:rsidP="00DB5F3D">
      <w:pPr>
        <w:pStyle w:val="a3"/>
        <w:numPr>
          <w:ilvl w:val="0"/>
          <w:numId w:val="2"/>
        </w:numPr>
        <w:spacing w:before="0" w:beforeAutospacing="0" w:after="4" w:afterAutospacing="0"/>
        <w:ind w:left="426" w:hanging="207"/>
        <w:rPr>
          <w:rStyle w:val="notranslate"/>
          <w:rFonts w:ascii="Georgia" w:hAnsi="Georgia"/>
          <w:sz w:val="22"/>
          <w:szCs w:val="22"/>
          <w:lang w:val="ru-RU"/>
        </w:rPr>
      </w:pP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О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ценки (например, численность населения, основные факторы риска, особые потребности, взаимодействие с ВИЧ-услуг</w:t>
      </w:r>
      <w:r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ами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 xml:space="preserve">) новых ключевых групп населения (например, </w:t>
      </w:r>
      <w:r w:rsidR="00F13977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трансгендеры</w:t>
      </w:r>
      <w:r w:rsidR="00A670B8" w:rsidRPr="00421034">
        <w:rPr>
          <w:rStyle w:val="notranslate"/>
          <w:rFonts w:ascii="Georgia" w:hAnsi="Georgia"/>
          <w:color w:val="000000"/>
          <w:sz w:val="22"/>
          <w:szCs w:val="22"/>
          <w:lang w:val="ru-RU"/>
        </w:rPr>
        <w:t>).</w:t>
      </w:r>
    </w:p>
    <w:p w14:paraId="335CD334" w14:textId="77777777" w:rsidR="008C4670" w:rsidRPr="00421034" w:rsidRDefault="008C4670" w:rsidP="00A670B8">
      <w:pPr>
        <w:rPr>
          <w:rFonts w:ascii="Georgia" w:hAnsi="Georgia"/>
          <w:sz w:val="22"/>
          <w:szCs w:val="22"/>
          <w:lang w:val="ru-RU"/>
        </w:rPr>
      </w:pPr>
    </w:p>
    <w:sectPr w:rsidR="008C4670" w:rsidRPr="00421034" w:rsidSect="002E43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4E34" w14:textId="77777777" w:rsidR="00642344" w:rsidRDefault="00642344" w:rsidP="00A670B8">
      <w:r>
        <w:separator/>
      </w:r>
    </w:p>
  </w:endnote>
  <w:endnote w:type="continuationSeparator" w:id="0">
    <w:p w14:paraId="4B424946" w14:textId="77777777" w:rsidR="00642344" w:rsidRDefault="00642344" w:rsidP="00A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0A2D" w14:textId="77777777" w:rsidR="00642344" w:rsidRDefault="00642344" w:rsidP="00A670B8">
      <w:r>
        <w:separator/>
      </w:r>
    </w:p>
  </w:footnote>
  <w:footnote w:type="continuationSeparator" w:id="0">
    <w:p w14:paraId="418E9CC2" w14:textId="77777777" w:rsidR="00642344" w:rsidRDefault="00642344" w:rsidP="00A670B8">
      <w:r>
        <w:continuationSeparator/>
      </w:r>
    </w:p>
  </w:footnote>
  <w:footnote w:id="1">
    <w:p w14:paraId="64E6D46C" w14:textId="295F2791" w:rsidR="00A670B8" w:rsidRPr="00D907F1" w:rsidRDefault="00A670B8" w:rsidP="00A670B8">
      <w:pPr>
        <w:pStyle w:val="a3"/>
        <w:spacing w:before="0" w:beforeAutospacing="0" w:after="0" w:afterAutospacing="0"/>
        <w:rPr>
          <w:rFonts w:ascii="Georgia" w:hAnsi="Georgia"/>
          <w:color w:val="000000"/>
          <w:lang w:val="ru-RU"/>
        </w:rPr>
      </w:pPr>
      <w:r>
        <w:rPr>
          <w:rStyle w:val="a6"/>
        </w:rPr>
        <w:footnoteRef/>
      </w:r>
      <w:r w:rsidRPr="00D907F1">
        <w:rPr>
          <w:lang w:val="ru-RU"/>
        </w:rPr>
        <w:t xml:space="preserve"> </w:t>
      </w:r>
      <w:r w:rsidRPr="00D907F1">
        <w:rPr>
          <w:rStyle w:val="notranslate"/>
          <w:rFonts w:ascii="Georgia" w:hAnsi="Georgia" w:cs="Arial"/>
          <w:color w:val="000000"/>
          <w:sz w:val="16"/>
          <w:szCs w:val="16"/>
          <w:lang w:val="ru-RU"/>
        </w:rPr>
        <w:t xml:space="preserve">ГФ включате в понятие ВЕЦА страны Юго-Восточной Европы. Весь список соответвующих стран см. на сайте </w:t>
      </w:r>
      <w:r w:rsidRPr="00A670B8">
        <w:rPr>
          <w:rStyle w:val="notranslate"/>
          <w:rFonts w:ascii="Georgia" w:hAnsi="Georgia" w:cs="Arial"/>
          <w:color w:val="000000"/>
          <w:sz w:val="16"/>
          <w:szCs w:val="16"/>
        </w:rPr>
        <w:t>www</w:t>
      </w:r>
      <w:r w:rsidRPr="00D907F1">
        <w:rPr>
          <w:rStyle w:val="notranslate"/>
          <w:rFonts w:ascii="Georgia" w:hAnsi="Georgia" w:cs="Arial"/>
          <w:color w:val="000000"/>
          <w:sz w:val="16"/>
          <w:szCs w:val="16"/>
          <w:lang w:val="ru-RU"/>
        </w:rPr>
        <w:t>.</w:t>
      </w:r>
      <w:r w:rsidRPr="00A670B8">
        <w:rPr>
          <w:rStyle w:val="notranslate"/>
          <w:rFonts w:ascii="Georgia" w:hAnsi="Georgia" w:cs="Arial"/>
          <w:color w:val="000000"/>
          <w:sz w:val="16"/>
          <w:szCs w:val="16"/>
        </w:rPr>
        <w:t>theglobalfund</w:t>
      </w:r>
      <w:r w:rsidRPr="00D907F1">
        <w:rPr>
          <w:rStyle w:val="notranslate"/>
          <w:rFonts w:ascii="Georgia" w:hAnsi="Georgia" w:cs="Arial"/>
          <w:color w:val="000000"/>
          <w:sz w:val="16"/>
          <w:szCs w:val="16"/>
          <w:lang w:val="ru-RU"/>
        </w:rPr>
        <w:t>.</w:t>
      </w:r>
      <w:r w:rsidRPr="00A670B8">
        <w:rPr>
          <w:rStyle w:val="notranslate"/>
          <w:rFonts w:ascii="Georgia" w:hAnsi="Georgia" w:cs="Arial"/>
          <w:color w:val="000000"/>
          <w:sz w:val="16"/>
          <w:szCs w:val="16"/>
        </w:rPr>
        <w:t>org</w:t>
      </w:r>
      <w:r w:rsidRPr="00D907F1">
        <w:rPr>
          <w:rStyle w:val="notranslate"/>
          <w:rFonts w:ascii="Georgia" w:hAnsi="Georgia" w:cs="Arial"/>
          <w:color w:val="000000"/>
          <w:sz w:val="16"/>
          <w:szCs w:val="16"/>
          <w:lang w:val="ru-RU"/>
        </w:rPr>
        <w:t>.</w:t>
      </w:r>
    </w:p>
    <w:p w14:paraId="22D632EC" w14:textId="6C3914FB" w:rsidR="00A670B8" w:rsidRPr="00A670B8" w:rsidRDefault="00A670B8">
      <w:pPr>
        <w:pStyle w:val="a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5A8"/>
    <w:multiLevelType w:val="hybridMultilevel"/>
    <w:tmpl w:val="4CACF2C6"/>
    <w:lvl w:ilvl="0" w:tplc="99CA8A0A">
      <w:start w:val="1"/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2018"/>
    <w:multiLevelType w:val="hybridMultilevel"/>
    <w:tmpl w:val="D78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6EAC"/>
    <w:multiLevelType w:val="hybridMultilevel"/>
    <w:tmpl w:val="140C7E72"/>
    <w:lvl w:ilvl="0" w:tplc="99CA8A0A">
      <w:start w:val="1"/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3A31"/>
    <w:multiLevelType w:val="hybridMultilevel"/>
    <w:tmpl w:val="2EAE30DC"/>
    <w:lvl w:ilvl="0" w:tplc="99CA8A0A">
      <w:start w:val="1"/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C3A66"/>
    <w:multiLevelType w:val="hybridMultilevel"/>
    <w:tmpl w:val="1F3ED778"/>
    <w:lvl w:ilvl="0" w:tplc="99CA8A0A">
      <w:start w:val="1"/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4374D"/>
    <w:multiLevelType w:val="hybridMultilevel"/>
    <w:tmpl w:val="A406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A5E56"/>
    <w:multiLevelType w:val="hybridMultilevel"/>
    <w:tmpl w:val="B0622EC6"/>
    <w:lvl w:ilvl="0" w:tplc="99CA8A0A">
      <w:start w:val="1"/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0"/>
    <w:rsid w:val="0003256F"/>
    <w:rsid w:val="000A6CCE"/>
    <w:rsid w:val="0012286A"/>
    <w:rsid w:val="00141553"/>
    <w:rsid w:val="001823FF"/>
    <w:rsid w:val="001B3BE6"/>
    <w:rsid w:val="001B44A0"/>
    <w:rsid w:val="001E57BE"/>
    <w:rsid w:val="00202FBA"/>
    <w:rsid w:val="00257B4F"/>
    <w:rsid w:val="002A7752"/>
    <w:rsid w:val="002B3D7B"/>
    <w:rsid w:val="002D33AF"/>
    <w:rsid w:val="002E43CF"/>
    <w:rsid w:val="003A2DAA"/>
    <w:rsid w:val="003C612D"/>
    <w:rsid w:val="003C6368"/>
    <w:rsid w:val="003D487D"/>
    <w:rsid w:val="0040334E"/>
    <w:rsid w:val="00421034"/>
    <w:rsid w:val="00525424"/>
    <w:rsid w:val="005302D5"/>
    <w:rsid w:val="00642344"/>
    <w:rsid w:val="0065697F"/>
    <w:rsid w:val="00747B7F"/>
    <w:rsid w:val="007559F6"/>
    <w:rsid w:val="00857DFF"/>
    <w:rsid w:val="008B5599"/>
    <w:rsid w:val="008C4670"/>
    <w:rsid w:val="00904A99"/>
    <w:rsid w:val="009B5335"/>
    <w:rsid w:val="00A670B8"/>
    <w:rsid w:val="00AC2A60"/>
    <w:rsid w:val="00B70798"/>
    <w:rsid w:val="00C01921"/>
    <w:rsid w:val="00C6463C"/>
    <w:rsid w:val="00CE6444"/>
    <w:rsid w:val="00CF2563"/>
    <w:rsid w:val="00D907F1"/>
    <w:rsid w:val="00DA409D"/>
    <w:rsid w:val="00DB5F3D"/>
    <w:rsid w:val="00DD0DB7"/>
    <w:rsid w:val="00E12F7A"/>
    <w:rsid w:val="00EB243D"/>
    <w:rsid w:val="00F13977"/>
    <w:rsid w:val="00F407F8"/>
    <w:rsid w:val="00F85F70"/>
    <w:rsid w:val="00FC319A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67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3">
    <w:name w:val="Normal (Web)"/>
    <w:basedOn w:val="a"/>
    <w:uiPriority w:val="99"/>
    <w:semiHidden/>
    <w:unhideWhenUsed/>
    <w:rsid w:val="00A670B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translate">
    <w:name w:val="notranslate"/>
    <w:basedOn w:val="a0"/>
    <w:rsid w:val="00A670B8"/>
  </w:style>
  <w:style w:type="character" w:customStyle="1" w:styleId="apple-converted-space">
    <w:name w:val="apple-converted-space"/>
    <w:basedOn w:val="a0"/>
    <w:rsid w:val="00A670B8"/>
  </w:style>
  <w:style w:type="paragraph" w:styleId="a4">
    <w:name w:val="footnote text"/>
    <w:basedOn w:val="a"/>
    <w:link w:val="a5"/>
    <w:uiPriority w:val="99"/>
    <w:unhideWhenUsed/>
    <w:rsid w:val="00A670B8"/>
  </w:style>
  <w:style w:type="character" w:customStyle="1" w:styleId="a5">
    <w:name w:val="Текст сноски Знак"/>
    <w:basedOn w:val="a0"/>
    <w:link w:val="a4"/>
    <w:uiPriority w:val="99"/>
    <w:rsid w:val="00A670B8"/>
  </w:style>
  <w:style w:type="character" w:styleId="a6">
    <w:name w:val="footnote reference"/>
    <w:basedOn w:val="a0"/>
    <w:uiPriority w:val="99"/>
    <w:unhideWhenUsed/>
    <w:rsid w:val="00A67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39787-93CC-4E15-8589-94592B0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2474</Words>
  <Characters>14102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Stas Kartashov</cp:lastModifiedBy>
  <cp:revision>16</cp:revision>
  <dcterms:created xsi:type="dcterms:W3CDTF">2017-10-27T12:34:00Z</dcterms:created>
  <dcterms:modified xsi:type="dcterms:W3CDTF">2017-10-28T08:50:00Z</dcterms:modified>
</cp:coreProperties>
</file>