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926B72" w14:textId="77777777" w:rsidR="002C4552" w:rsidRPr="00B20279" w:rsidRDefault="002C4552" w:rsidP="002C4552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4230B155" w14:textId="77777777" w:rsidR="002C4552" w:rsidRPr="00B20279" w:rsidRDefault="002C4552" w:rsidP="002C4552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 разработку национального плана действий сообществ </w:t>
      </w:r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54C61C9A" w:rsidR="008D7921" w:rsidRPr="00DF3D12" w:rsidRDefault="002C4552" w:rsidP="002C4552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Республике</w:t>
      </w: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Кыргызстан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18CF5D88" w14:textId="332493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2" w:name="_GoBack"/>
      <w:r w:rsidR="00763A4C" w:rsidRPr="002C4552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действий сообществ</w:t>
      </w:r>
      <w:bookmarkEnd w:id="2"/>
    </w:p>
    <w:p w14:paraId="6643DE08" w14:textId="3D7328DE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A71DB">
        <w:rPr>
          <w:rFonts w:ascii="Times New Roman" w:eastAsia="Times New Roman" w:hAnsi="Times New Roman" w:cs="Times New Roman"/>
          <w:sz w:val="24"/>
          <w:szCs w:val="24"/>
          <w:lang w:val="ru-RU"/>
        </w:rPr>
        <w:t>Бишкек, Кыргызстан</w:t>
      </w:r>
      <w:r w:rsidR="008D7921" w:rsidRPr="002B0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13BDD9F4" w14:textId="77777777" w:rsidR="008A71DB" w:rsidRDefault="00EC79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A71DB">
        <w:rPr>
          <w:rFonts w:ascii="Times New Roman" w:eastAsia="Times New Roman" w:hAnsi="Times New Roman" w:cs="Times New Roman"/>
          <w:sz w:val="24"/>
          <w:szCs w:val="24"/>
          <w:lang w:val="ru-RU"/>
        </w:rPr>
        <w:t>Бишкек, Кыргызстан</w:t>
      </w:r>
      <w:r w:rsidR="008A71D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18711B" w14:textId="755F1D62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1419FF46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8A71DB">
        <w:rPr>
          <w:rFonts w:ascii="Times New Roman" w:hAnsi="Times New Roman" w:cs="Times New Roman"/>
          <w:sz w:val="24"/>
          <w:szCs w:val="24"/>
          <w:lang w:val="ru-RU"/>
        </w:rPr>
        <w:t>Кыргызстане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20E9401E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8A71DB">
        <w:rPr>
          <w:rFonts w:ascii="Times New Roman" w:hAnsi="Times New Roman" w:cs="Times New Roman"/>
          <w:sz w:val="24"/>
          <w:szCs w:val="24"/>
          <w:lang w:val="ru-RU"/>
        </w:rPr>
        <w:t>Кыргызстане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3. Разработать инструкции для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финализировать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495A7C59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8A71DB">
        <w:rPr>
          <w:rFonts w:ascii="Times New Roman" w:hAnsi="Times New Roman" w:cs="Times New Roman"/>
          <w:sz w:val="24"/>
          <w:szCs w:val="24"/>
          <w:lang w:val="ru-RU"/>
        </w:rPr>
        <w:t>Кыргызстане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</w:t>
      </w:r>
      <w:proofErr w:type="spellStart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инализация</w:t>
      </w:r>
      <w:proofErr w:type="spellEnd"/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</w:t>
      </w:r>
      <w:proofErr w:type="spellStart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</w:t>
      </w:r>
      <w:proofErr w:type="spellStart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100% </w:t>
      </w:r>
      <w:proofErr w:type="spellStart"/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резиденства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адрес, фактический адрес лица;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оплату единого налога;  контактный номер телефона;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036D" w14:textId="77777777" w:rsidR="004A2A24" w:rsidRDefault="004A2A24">
      <w:pPr>
        <w:spacing w:after="0" w:line="240" w:lineRule="auto"/>
      </w:pPr>
      <w:r>
        <w:separator/>
      </w:r>
    </w:p>
  </w:endnote>
  <w:endnote w:type="continuationSeparator" w:id="0">
    <w:p w14:paraId="67C20956" w14:textId="77777777" w:rsidR="004A2A24" w:rsidRDefault="004A2A24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Договор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победител</w:t>
      </w:r>
      <w:proofErr w:type="spellEnd"/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заключаться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ВЦО ЛЖВ в рамках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реализации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-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Глобальный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Фонд) «Партнерство ради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равного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доступа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к услугам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связи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ВИЧ-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инфекцией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регионе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ВЕЦА»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–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). 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реализуется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«Об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исполнении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>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Услуги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на </w:t>
      </w:r>
      <w:proofErr w:type="spellStart"/>
      <w:r w:rsidRPr="00D9684D">
        <w:rPr>
          <w:rFonts w:ascii="Times New Roman" w:hAnsi="Times New Roman" w:cs="Times New Roman"/>
          <w:sz w:val="18"/>
        </w:rPr>
        <w:t>основании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26 </w:t>
      </w:r>
      <w:proofErr w:type="spellStart"/>
      <w:r w:rsidRPr="00D9684D">
        <w:rPr>
          <w:rFonts w:ascii="Times New Roman" w:hAnsi="Times New Roman" w:cs="Times New Roman"/>
          <w:sz w:val="18"/>
        </w:rPr>
        <w:t>подраздела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</w:t>
      </w:r>
      <w:proofErr w:type="spellStart"/>
      <w:r w:rsidRPr="00D9684D">
        <w:rPr>
          <w:rFonts w:ascii="Times New Roman" w:hAnsi="Times New Roman" w:cs="Times New Roman"/>
          <w:sz w:val="18"/>
        </w:rPr>
        <w:t>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ХХ «</w:t>
      </w:r>
      <w:proofErr w:type="spellStart"/>
      <w:r w:rsidRPr="00D9684D">
        <w:rPr>
          <w:rFonts w:ascii="Times New Roman" w:hAnsi="Times New Roman" w:cs="Times New Roman"/>
          <w:sz w:val="18"/>
        </w:rPr>
        <w:t>Переходные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кодекса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 без </w:t>
      </w:r>
      <w:proofErr w:type="spellStart"/>
      <w:r w:rsidRPr="00D9684D">
        <w:rPr>
          <w:rFonts w:ascii="Times New Roman" w:hAnsi="Times New Roman" w:cs="Times New Roman"/>
          <w:sz w:val="18"/>
        </w:rPr>
        <w:t>учета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поскольку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услуги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последней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QMZ-H-ECUO номер 869,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ему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упомянутой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по Договору о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В </w:t>
      </w:r>
      <w:proofErr w:type="spellStart"/>
      <w:r w:rsidRPr="00D9684D">
        <w:rPr>
          <w:rFonts w:ascii="Times New Roman" w:hAnsi="Times New Roman" w:cs="Times New Roman"/>
          <w:sz w:val="18"/>
        </w:rPr>
        <w:t>дальнейшем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по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Порядком 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таможенной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территории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товаров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кроме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подакцизных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и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оплачиваемых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субгрантов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программами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реализуемыхв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«О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», </w:t>
      </w:r>
      <w:proofErr w:type="spellStart"/>
      <w:r w:rsidRPr="00D9684D">
        <w:rPr>
          <w:rFonts w:ascii="Times New Roman" w:hAnsi="Times New Roman" w:cs="Times New Roman"/>
          <w:sz w:val="18"/>
        </w:rPr>
        <w:t>утвержденного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постановлением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Кабинета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Министров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17.04.2013 №284, </w:t>
      </w:r>
      <w:proofErr w:type="spellStart"/>
      <w:r w:rsidRPr="00D9684D">
        <w:rPr>
          <w:rFonts w:ascii="Times New Roman" w:hAnsi="Times New Roman" w:cs="Times New Roman"/>
          <w:sz w:val="18"/>
        </w:rPr>
        <w:t>должны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подать в </w:t>
      </w:r>
      <w:proofErr w:type="spellStart"/>
      <w:r w:rsidRPr="00D9684D">
        <w:rPr>
          <w:rFonts w:ascii="Times New Roman" w:hAnsi="Times New Roman" w:cs="Times New Roman"/>
          <w:sz w:val="18"/>
        </w:rPr>
        <w:t>Министерство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охраны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здоровья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подтверждения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освобождения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</w:t>
      </w:r>
      <w:proofErr w:type="spellStart"/>
      <w:r w:rsidRPr="00D9684D">
        <w:rPr>
          <w:rFonts w:ascii="Times New Roman" w:hAnsi="Times New Roman" w:cs="Times New Roman"/>
          <w:sz w:val="18"/>
        </w:rPr>
        <w:t>налогообложения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операций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осуществленных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пользу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ЛЖВ, пакет </w:t>
      </w:r>
      <w:proofErr w:type="spellStart"/>
      <w:r w:rsidRPr="00D9684D">
        <w:rPr>
          <w:rFonts w:ascii="Times New Roman" w:hAnsi="Times New Roman" w:cs="Times New Roman"/>
          <w:sz w:val="18"/>
        </w:rPr>
        <w:t>документов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перечнем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определенным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5 </w:t>
      </w:r>
      <w:proofErr w:type="spellStart"/>
      <w:r w:rsidRPr="00D9684D">
        <w:rPr>
          <w:rFonts w:ascii="Times New Roman" w:hAnsi="Times New Roman" w:cs="Times New Roman"/>
          <w:sz w:val="18"/>
        </w:rPr>
        <w:t>Порядка</w:t>
      </w:r>
      <w:proofErr w:type="spellEnd"/>
      <w:r w:rsidRPr="00D9684D">
        <w:rPr>
          <w:rFonts w:ascii="Times New Roman" w:hAnsi="Times New Roman" w:cs="Times New Roman"/>
          <w:sz w:val="18"/>
        </w:rPr>
        <w:t>, и получить</w:t>
      </w:r>
      <w:r w:rsidRPr="00D9684D">
        <w:rPr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соответствующую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справку-подтверждение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форме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приложению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к Порядку,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D9684D">
        <w:rPr>
          <w:rFonts w:ascii="Times New Roman" w:hAnsi="Times New Roman" w:cs="Times New Roman"/>
          <w:sz w:val="18"/>
        </w:rPr>
        <w:t>подается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налоговый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орган, в </w:t>
      </w:r>
      <w:proofErr w:type="spellStart"/>
      <w:r w:rsidRPr="00D9684D">
        <w:rPr>
          <w:rFonts w:ascii="Times New Roman" w:hAnsi="Times New Roman" w:cs="Times New Roman"/>
          <w:sz w:val="18"/>
        </w:rPr>
        <w:t>котором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они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состоят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учете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proofErr w:type="spellStart"/>
      <w:r w:rsidRPr="00D9684D">
        <w:rPr>
          <w:rFonts w:ascii="Times New Roman" w:hAnsi="Times New Roman" w:cs="Times New Roman"/>
          <w:sz w:val="18"/>
        </w:rPr>
        <w:t>Прохождение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является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обязанностью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полагается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условиям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договора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между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ним и ВЦО ЛЖВ.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Соответственно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риски, </w:t>
      </w:r>
      <w:proofErr w:type="spellStart"/>
      <w:r w:rsidRPr="00D9684D">
        <w:rPr>
          <w:rFonts w:ascii="Times New Roman" w:hAnsi="Times New Roman" w:cs="Times New Roman"/>
          <w:sz w:val="18"/>
        </w:rPr>
        <w:t>связанные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ненадлежащим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этого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обязательства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принимает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услуг. ВЦО ЛЖВ,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стороны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всячески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способствовать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(в </w:t>
      </w:r>
      <w:proofErr w:type="spellStart"/>
      <w:r w:rsidRPr="00D9684D">
        <w:rPr>
          <w:rFonts w:ascii="Times New Roman" w:hAnsi="Times New Roman" w:cs="Times New Roman"/>
          <w:sz w:val="18"/>
        </w:rPr>
        <w:t>пределах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своих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законом и Уставом </w:t>
      </w:r>
      <w:proofErr w:type="spellStart"/>
      <w:r w:rsidRPr="00D9684D">
        <w:rPr>
          <w:rFonts w:ascii="Times New Roman" w:hAnsi="Times New Roman" w:cs="Times New Roman"/>
          <w:sz w:val="18"/>
        </w:rPr>
        <w:t>возможностей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в </w:t>
      </w:r>
      <w:proofErr w:type="spellStart"/>
      <w:r w:rsidRPr="00D9684D">
        <w:rPr>
          <w:rFonts w:ascii="Times New Roman" w:hAnsi="Times New Roman" w:cs="Times New Roman"/>
          <w:sz w:val="18"/>
        </w:rPr>
        <w:t>надлежащем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прохождении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FD80" w14:textId="77777777" w:rsidR="004A2A24" w:rsidRDefault="004A2A24">
      <w:pPr>
        <w:spacing w:after="0" w:line="240" w:lineRule="auto"/>
      </w:pPr>
      <w:r>
        <w:separator/>
      </w:r>
    </w:p>
  </w:footnote>
  <w:footnote w:type="continuationSeparator" w:id="0">
    <w:p w14:paraId="45B7C275" w14:textId="77777777" w:rsidR="004A2A24" w:rsidRDefault="004A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60FCC"/>
    <w:rsid w:val="000A25F3"/>
    <w:rsid w:val="000D6439"/>
    <w:rsid w:val="0011362B"/>
    <w:rsid w:val="0014492B"/>
    <w:rsid w:val="00157E10"/>
    <w:rsid w:val="0018113B"/>
    <w:rsid w:val="001A5396"/>
    <w:rsid w:val="001B22BC"/>
    <w:rsid w:val="001F37E8"/>
    <w:rsid w:val="001F3CFA"/>
    <w:rsid w:val="00205390"/>
    <w:rsid w:val="00224474"/>
    <w:rsid w:val="002675F9"/>
    <w:rsid w:val="00271ADF"/>
    <w:rsid w:val="00290598"/>
    <w:rsid w:val="002A0A4A"/>
    <w:rsid w:val="002A0D64"/>
    <w:rsid w:val="002A4EAC"/>
    <w:rsid w:val="002B0EE2"/>
    <w:rsid w:val="002C09B8"/>
    <w:rsid w:val="002C4552"/>
    <w:rsid w:val="002D35B8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77DB"/>
    <w:rsid w:val="004A2A24"/>
    <w:rsid w:val="004C3F57"/>
    <w:rsid w:val="004C42BA"/>
    <w:rsid w:val="004D2863"/>
    <w:rsid w:val="004D462F"/>
    <w:rsid w:val="004D4D55"/>
    <w:rsid w:val="004E1985"/>
    <w:rsid w:val="004F1314"/>
    <w:rsid w:val="00503285"/>
    <w:rsid w:val="0052231D"/>
    <w:rsid w:val="00546F11"/>
    <w:rsid w:val="00552BAC"/>
    <w:rsid w:val="005635F0"/>
    <w:rsid w:val="005A222D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A71DB"/>
    <w:rsid w:val="008B156D"/>
    <w:rsid w:val="008B2F3E"/>
    <w:rsid w:val="008B7A5B"/>
    <w:rsid w:val="008D7921"/>
    <w:rsid w:val="008F52A0"/>
    <w:rsid w:val="00912DA0"/>
    <w:rsid w:val="00944393"/>
    <w:rsid w:val="00966F6B"/>
    <w:rsid w:val="0098443F"/>
    <w:rsid w:val="009850C6"/>
    <w:rsid w:val="009A0471"/>
    <w:rsid w:val="009C5F8A"/>
    <w:rsid w:val="009D773A"/>
    <w:rsid w:val="009F0BA9"/>
    <w:rsid w:val="009F2B45"/>
    <w:rsid w:val="009F78DB"/>
    <w:rsid w:val="00A02315"/>
    <w:rsid w:val="00A42729"/>
    <w:rsid w:val="00A4736D"/>
    <w:rsid w:val="00AC6F33"/>
    <w:rsid w:val="00AE6584"/>
    <w:rsid w:val="00AF2AB2"/>
    <w:rsid w:val="00B15F38"/>
    <w:rsid w:val="00B16D4A"/>
    <w:rsid w:val="00B27C7F"/>
    <w:rsid w:val="00B451FA"/>
    <w:rsid w:val="00B67EFA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15BA8"/>
    <w:rsid w:val="00F17C95"/>
    <w:rsid w:val="00F24944"/>
    <w:rsid w:val="00F33C77"/>
    <w:rsid w:val="00F4419D"/>
    <w:rsid w:val="00F97055"/>
    <w:rsid w:val="00FB03F1"/>
    <w:rsid w:val="00FD3EA9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C4552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6E70-AA1A-6042-877E-DA10914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1633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3</cp:revision>
  <cp:lastPrinted>2016-09-09T11:17:00Z</cp:lastPrinted>
  <dcterms:created xsi:type="dcterms:W3CDTF">2016-10-20T11:26:00Z</dcterms:created>
  <dcterms:modified xsi:type="dcterms:W3CDTF">2016-10-20T12:32:00Z</dcterms:modified>
</cp:coreProperties>
</file>