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4106" w:rsidRPr="000E7E12" w:rsidRDefault="00254106" w:rsidP="00254106">
      <w:pPr>
        <w:pStyle w:val="10"/>
      </w:pPr>
    </w:p>
    <w:p w:rsidR="007D4E39" w:rsidRPr="000E7E12" w:rsidRDefault="00AD7CCE" w:rsidP="007D4E39">
      <w:pPr>
        <w:jc w:val="center"/>
        <w:rPr>
          <w:rFonts w:cstheme="minorHAnsi"/>
          <w:b/>
        </w:rPr>
      </w:pPr>
      <w:r w:rsidRPr="000E7E12">
        <w:rPr>
          <w:b/>
        </w:rPr>
        <w:t>Техническое задание</w:t>
      </w:r>
      <w:r w:rsidR="007D4E39" w:rsidRPr="000E7E12">
        <w:rPr>
          <w:rFonts w:cstheme="minorHAnsi"/>
          <w:b/>
        </w:rPr>
        <w:t xml:space="preserve"> </w:t>
      </w:r>
    </w:p>
    <w:p w:rsidR="007D4E39" w:rsidRPr="000E7E12" w:rsidRDefault="007D4E39" w:rsidP="007D4E39">
      <w:pPr>
        <w:jc w:val="center"/>
        <w:rPr>
          <w:rFonts w:eastAsia="Calibri" w:cs="Calibri"/>
          <w:b/>
          <w:shd w:val="clear" w:color="auto" w:fill="FFFFFF"/>
        </w:rPr>
      </w:pPr>
      <w:r w:rsidRPr="000E7E12">
        <w:rPr>
          <w:rFonts w:cstheme="minorHAnsi"/>
          <w:b/>
        </w:rPr>
        <w:t xml:space="preserve">предоставление  услуг закупки: компьютерное обеспечение в рамках проекта </w:t>
      </w:r>
      <w:r w:rsidRPr="000E7E12">
        <w:rPr>
          <w:rFonts w:eastAsia="Calibri" w:cs="Calibri"/>
          <w:b/>
          <w:shd w:val="clear" w:color="auto" w:fill="FFFFFF"/>
        </w:rPr>
        <w:t>Глобального Фонда для борьбы со СПИДом, туберкулёзом и малярией</w:t>
      </w:r>
    </w:p>
    <w:p w:rsidR="00E31A7A" w:rsidRPr="000E7E12" w:rsidRDefault="00E31A7A">
      <w:pPr>
        <w:pStyle w:val="10"/>
        <w:jc w:val="center"/>
      </w:pPr>
    </w:p>
    <w:p w:rsidR="00E31A7A" w:rsidRPr="000E7E12" w:rsidRDefault="00AD7CCE">
      <w:pPr>
        <w:pStyle w:val="5"/>
      </w:pPr>
      <w:r w:rsidRPr="000E7E12">
        <w:rPr>
          <w:rFonts w:ascii="Cambria" w:eastAsia="Cambria" w:hAnsi="Cambria" w:cs="Cambria"/>
          <w:b/>
          <w:i/>
          <w:color w:val="4F81BD"/>
        </w:rPr>
        <w:t>ИНФОРМАЦИЯ ОБ ОРГАНИЗАЦИИ</w:t>
      </w:r>
    </w:p>
    <w:p w:rsidR="00E31A7A" w:rsidRPr="000E7E12" w:rsidRDefault="00AD7CCE">
      <w:pPr>
        <w:pStyle w:val="10"/>
        <w:jc w:val="both"/>
      </w:pPr>
      <w:r w:rsidRPr="000E7E12">
        <w:t xml:space="preserve">Международная благотворительная организация «Восточноевропейское и Центральноазиатское Объединение людей, живущих с ВИЧ» (ВЦО ЛЖВ) была создана в 2005 году и официально зарегистрирована в 2007 году. </w:t>
      </w:r>
    </w:p>
    <w:p w:rsidR="00E31A7A" w:rsidRPr="000E7E12" w:rsidRDefault="00AD7CCE">
      <w:pPr>
        <w:pStyle w:val="10"/>
        <w:jc w:val="both"/>
      </w:pPr>
      <w:r w:rsidRPr="000E7E12">
        <w:t>ВЦО ЛЖВ является региональной партнёрской организацией, основанной ЛЖВ для ЛЖВ! Мы — «сеть сетей», которая объединяет сообщество ЛЖВ из 16  стран Восточной Европы и Центральной Азии (ВЕЦА) для повышения его влияния на расширение доступа к антиретровирусному лечению через использование действенных региональных и международных инструментов, чтобы обеспечить соблюдение права всех людей, живущих с ВИЧ, в регионе ВЕЦА, на получение полноценного доступа к лечению.</w:t>
      </w:r>
    </w:p>
    <w:p w:rsidR="00E31A7A" w:rsidRPr="000E7E12" w:rsidRDefault="00AD7CCE">
      <w:pPr>
        <w:pStyle w:val="10"/>
        <w:spacing w:after="168"/>
        <w:ind w:left="360" w:hanging="340"/>
        <w:jc w:val="both"/>
      </w:pPr>
      <w:r w:rsidRPr="000E7E12">
        <w:t>Секретариат ВЦО ЛЖВ находится в Киеве, Украина.</w:t>
      </w:r>
    </w:p>
    <w:p w:rsidR="00E31A7A" w:rsidRPr="000E7E12" w:rsidRDefault="00AD7CCE">
      <w:pPr>
        <w:pStyle w:val="5"/>
      </w:pPr>
      <w:r w:rsidRPr="000E7E12">
        <w:rPr>
          <w:rFonts w:ascii="Cambria" w:eastAsia="Cambria" w:hAnsi="Cambria" w:cs="Cambria"/>
          <w:b/>
          <w:i/>
          <w:color w:val="4F81BD"/>
        </w:rPr>
        <w:t xml:space="preserve">ИНФОРМАЦИЯ о ПРОЕКТЕ </w:t>
      </w:r>
    </w:p>
    <w:p w:rsidR="00E31A7A" w:rsidRPr="000E7E12" w:rsidRDefault="00AD7CCE">
      <w:pPr>
        <w:pStyle w:val="10"/>
        <w:spacing w:after="0"/>
        <w:jc w:val="both"/>
      </w:pPr>
      <w:proofErr w:type="gramStart"/>
      <w:r w:rsidRPr="000E7E12">
        <w:t>Региональный проект «Партнёрство ради равного доступа к услугам в связи с ВИЧ-инфекцией» разработан   ВЦО ЛЖВ в партнёрстве с Евразийской сетью снижения вреда (ЕССВ) при технической поддержке Всемирной организации здравоохранения (ВОЗ) и Объединённой программы Организации Объединённых Наций по ВИЧ/СПИДу (ЮНЭЙДС), а также обсуждался в ходе ряда региональных консультаций и был поддержан широким кругом заинтересованных сторон.</w:t>
      </w:r>
      <w:proofErr w:type="gramEnd"/>
      <w:r w:rsidRPr="000E7E12">
        <w:t xml:space="preserve">  </w:t>
      </w:r>
      <w:proofErr w:type="gramStart"/>
      <w:r w:rsidRPr="000E7E12">
        <w:t>Региональный проект был одобрен в рамках Новой модели финансирования Глобального фонда для борьбы со СПИДом, туберкулёзом и малярией (ГФ СТМ) глобальный фонд) и начал свою реализацию в ноябре 2015 года.</w:t>
      </w:r>
      <w:proofErr w:type="gramEnd"/>
    </w:p>
    <w:p w:rsidR="00E31A7A" w:rsidRPr="000E7E12" w:rsidRDefault="00AD7CCE">
      <w:pPr>
        <w:pStyle w:val="10"/>
        <w:spacing w:after="0"/>
        <w:ind w:firstLine="284"/>
        <w:jc w:val="both"/>
      </w:pPr>
      <w:r w:rsidRPr="000E7E12">
        <w:t>Основная деятельность организации  в период с 2015 по 2018 направлена на реализацию проекта  «Партнёрство ради равного доступа к услугам в связи с ВИЧ-инфекцией».</w:t>
      </w:r>
    </w:p>
    <w:p w:rsidR="00E31A7A" w:rsidRPr="000E7E12" w:rsidRDefault="00AD7CCE">
      <w:pPr>
        <w:pStyle w:val="10"/>
        <w:spacing w:after="0"/>
        <w:ind w:firstLine="284"/>
        <w:jc w:val="both"/>
      </w:pPr>
      <w:r w:rsidRPr="000E7E12">
        <w:t>Проект «Партнёрство ради равного доступа к услугам в связи с ВИЧ-инфекцией» рассматривает два наиболее актуальных вопроса, затрагивающих ЛЖВ в регионе ВЕЦА:</w:t>
      </w:r>
    </w:p>
    <w:p w:rsidR="00E31A7A" w:rsidRPr="000E7E12" w:rsidRDefault="00AD7CCE">
      <w:pPr>
        <w:pStyle w:val="10"/>
        <w:spacing w:after="0"/>
        <w:ind w:firstLine="284"/>
        <w:jc w:val="both"/>
      </w:pPr>
      <w:r w:rsidRPr="000E7E12">
        <w:t xml:space="preserve">1) выпадение ЛЖВ на этапах каскада лечения ВИЧ-инфекции, что приводит к позднему началу АРВ-лечения у ЛЖВ, особенно среди основных затронутых групп населения, и высокому уровню смертности от СПИДа при наличии </w:t>
      </w:r>
      <w:proofErr w:type="gramStart"/>
      <w:r w:rsidRPr="000E7E12">
        <w:t>АРТ</w:t>
      </w:r>
      <w:proofErr w:type="gramEnd"/>
      <w:r w:rsidRPr="000E7E12">
        <w:t>;</w:t>
      </w:r>
    </w:p>
    <w:p w:rsidR="00E31A7A" w:rsidRPr="000E7E12" w:rsidRDefault="00AD7CCE">
      <w:pPr>
        <w:pStyle w:val="10"/>
        <w:spacing w:after="0"/>
        <w:ind w:firstLine="284"/>
        <w:jc w:val="both"/>
      </w:pPr>
      <w:r w:rsidRPr="000E7E12">
        <w:t>2) отсутствие стратегических инвестиций и устойчивых планов перехода на внутренние источники финансирования доступа к континууму услуг от выявления до лечения ВИЧ, что препятствует доступу к непрерывному оказанию помощи в связи с ВИЧ-инфекцией.</w:t>
      </w:r>
    </w:p>
    <w:p w:rsidR="00254106" w:rsidRPr="000E7E12" w:rsidRDefault="00254106">
      <w:pPr>
        <w:pStyle w:val="10"/>
        <w:spacing w:after="0"/>
        <w:ind w:firstLine="284"/>
        <w:jc w:val="both"/>
      </w:pPr>
    </w:p>
    <w:p w:rsidR="00254106" w:rsidRPr="000E7E12" w:rsidRDefault="00254106">
      <w:pPr>
        <w:pStyle w:val="10"/>
        <w:spacing w:after="0"/>
        <w:ind w:firstLine="284"/>
        <w:jc w:val="both"/>
      </w:pPr>
    </w:p>
    <w:p w:rsidR="00254106" w:rsidRPr="000E7E12" w:rsidRDefault="00254106">
      <w:pPr>
        <w:pStyle w:val="10"/>
        <w:spacing w:after="0"/>
        <w:ind w:firstLine="284"/>
        <w:jc w:val="both"/>
      </w:pPr>
    </w:p>
    <w:p w:rsidR="00E31A7A" w:rsidRPr="000E7E12" w:rsidRDefault="00AD7CCE">
      <w:pPr>
        <w:pStyle w:val="10"/>
        <w:spacing w:after="0"/>
        <w:ind w:firstLine="284"/>
        <w:jc w:val="both"/>
      </w:pPr>
      <w:r w:rsidRPr="000E7E12">
        <w:lastRenderedPageBreak/>
        <w:t>Целью регионального проекта является повышение эффективности, доступности и устойчивости программ лечения ВИЧ-инфекции через содействие обеспечению непрерывной помощи при ВИЧ-инфекции для ЛЖВ с особым фокусом на ОЗГН в регионе ВЕЦА.</w:t>
      </w:r>
    </w:p>
    <w:p w:rsidR="00E31A7A" w:rsidRPr="000E7E12" w:rsidRDefault="00AD7CCE">
      <w:pPr>
        <w:pStyle w:val="10"/>
        <w:spacing w:after="0"/>
        <w:ind w:firstLine="284"/>
        <w:jc w:val="both"/>
      </w:pPr>
      <w:proofErr w:type="gramStart"/>
      <w:r w:rsidRPr="000E7E12">
        <w:t>Цель проекта предполагается достичь путём сочетания мероприятий на региональном и национальном уровнях; и укрепления взаимодействия между организованными сообществами, профильными министерствами, ведомствами и учреждениями, международными и национальными организациями и техническими партнёрами.</w:t>
      </w:r>
      <w:proofErr w:type="gramEnd"/>
      <w:r w:rsidRPr="000E7E12">
        <w:t xml:space="preserve"> Интервенции регионального проекта «Партнёрство ради равного доступа к услугам в связи с ВИЧ-инфекцией» представляют собой̆ комплексную программу по адвокации, в рамках которой̆ консолидируются усилия сообществ ЛЖВ, ЛЖВ/Тб и ОЗГН в реализации аргументированного диалога с людьми, принимающими решения, в странах ВЕЦА для обеспечения долгосрочной̆ устойчивости оказания непрерывной̆ помощи при ВИЧ-инфекции.</w:t>
      </w:r>
    </w:p>
    <w:p w:rsidR="00254106" w:rsidRPr="000E7E12" w:rsidRDefault="00254106">
      <w:pPr>
        <w:pStyle w:val="10"/>
        <w:jc w:val="both"/>
      </w:pPr>
    </w:p>
    <w:p w:rsidR="00E31A7A" w:rsidRPr="000E7E12" w:rsidRDefault="00AD7CCE">
      <w:pPr>
        <w:pStyle w:val="10"/>
        <w:jc w:val="both"/>
      </w:pPr>
      <w:r w:rsidRPr="000E7E12">
        <w:rPr>
          <w:b/>
          <w:i/>
          <w:color w:val="4F81BD"/>
        </w:rPr>
        <w:t>ЦЕЛЬ ТЕХНИЧЕСКОГО ЗАДАНИЯ</w:t>
      </w:r>
      <w:r w:rsidRPr="000E7E12">
        <w:t xml:space="preserve"> В рамках данного технического задания планируется определить организацию-победителя и нанять компанию, которая будет предоставлять </w:t>
      </w:r>
      <w:r w:rsidR="007D4E39" w:rsidRPr="000E7E12">
        <w:t xml:space="preserve">услуги компьютерного обеспечения </w:t>
      </w:r>
      <w:r w:rsidRPr="000E7E12">
        <w:t xml:space="preserve">организатору тендера. Предметом тендера является </w:t>
      </w:r>
      <w:r w:rsidR="00FF6876">
        <w:t>счета-фактуры</w:t>
      </w:r>
      <w:r w:rsidRPr="000E7E12">
        <w:t xml:space="preserve"> и другие документы, форма и содержание которых должны отвечать условиям, изложенным в этом объявлении.</w:t>
      </w:r>
    </w:p>
    <w:p w:rsidR="00E31A7A" w:rsidRPr="000E7E12" w:rsidRDefault="00AD7CCE">
      <w:pPr>
        <w:pStyle w:val="3"/>
        <w:jc w:val="both"/>
      </w:pPr>
      <w:r w:rsidRPr="000E7E12">
        <w:rPr>
          <w:rFonts w:ascii="Cambria" w:eastAsia="Cambria" w:hAnsi="Cambria" w:cs="Cambria"/>
        </w:rPr>
        <w:t xml:space="preserve">ОБЪЕМ ЗАДАНИЙ </w:t>
      </w:r>
    </w:p>
    <w:p w:rsidR="00E31A7A" w:rsidRPr="00FA3944" w:rsidRDefault="00AD7CCE">
      <w:pPr>
        <w:pStyle w:val="10"/>
        <w:jc w:val="both"/>
        <w:rPr>
          <w:rFonts w:asciiTheme="majorHAnsi" w:hAnsiTheme="majorHAnsi"/>
        </w:rPr>
      </w:pPr>
      <w:r w:rsidRPr="000E7E12">
        <w:t>От компании или организации, которая будет предоставлять услуги</w:t>
      </w:r>
      <w:r w:rsidR="007D4E39" w:rsidRPr="000E7E12">
        <w:t xml:space="preserve"> закупки компьютерного </w:t>
      </w:r>
      <w:r w:rsidR="00014951" w:rsidRPr="00FA3944">
        <w:rPr>
          <w:rFonts w:asciiTheme="majorHAnsi" w:hAnsiTheme="majorHAnsi"/>
        </w:rPr>
        <w:t>обеспечения,</w:t>
      </w:r>
      <w:r w:rsidRPr="00FA3944">
        <w:rPr>
          <w:rFonts w:asciiTheme="majorHAnsi" w:hAnsiTheme="majorHAnsi"/>
        </w:rPr>
        <w:t xml:space="preserve"> </w:t>
      </w:r>
      <w:r w:rsidR="007D4E39" w:rsidRPr="00FA3944">
        <w:rPr>
          <w:rFonts w:asciiTheme="majorHAnsi" w:hAnsiTheme="majorHAnsi"/>
        </w:rPr>
        <w:t>ожидается следующее</w:t>
      </w:r>
      <w:r w:rsidRPr="00FA3944">
        <w:rPr>
          <w:rFonts w:asciiTheme="majorHAnsi" w:hAnsiTheme="majorHAnsi"/>
        </w:rPr>
        <w:t>:</w:t>
      </w:r>
    </w:p>
    <w:tbl>
      <w:tblPr>
        <w:tblpPr w:leftFromText="180" w:rightFromText="180" w:vertAnchor="text" w:horzAnchor="margin" w:tblpY="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85"/>
        <w:gridCol w:w="6170"/>
      </w:tblGrid>
      <w:tr w:rsidR="000E7E12" w:rsidRPr="00FA3944" w:rsidTr="0001544C">
        <w:trPr>
          <w:cantSplit/>
          <w:trHeight w:val="422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Название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6170" w:type="dxa"/>
            <w:shd w:val="clear" w:color="auto" w:fill="D9D9D9" w:themeFill="background1" w:themeFillShade="D9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Минимальные обязательные технические требования к предмету закупки</w:t>
            </w:r>
          </w:p>
        </w:tc>
      </w:tr>
      <w:tr w:rsidR="000E7E12" w:rsidRPr="00512963" w:rsidTr="0001544C">
        <w:trPr>
          <w:trHeight w:val="8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Ноутбук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E7E12" w:rsidRPr="0001544C" w:rsidRDefault="00D6021D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2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0E7E12" w:rsidRPr="0001544C" w:rsidRDefault="009A67C1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Э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кран: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15.6" (1366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x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768)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WXGA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HD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Процессор: </w:t>
            </w:r>
            <w:proofErr w:type="spellStart"/>
            <w:r w:rsidR="00125BFE" w:rsidRPr="0001544C">
              <w:rPr>
                <w:rFonts w:asciiTheme="majorHAnsi" w:hAnsiTheme="majorHAnsi" w:cs="Tahoma"/>
                <w:sz w:val="22"/>
                <w:szCs w:val="22"/>
              </w:rPr>
              <w:t>дву</w:t>
            </w:r>
            <w:r w:rsidR="009A67C1" w:rsidRPr="0001544C">
              <w:rPr>
                <w:rFonts w:asciiTheme="majorHAnsi" w:hAnsiTheme="majorHAnsi" w:cs="Tahoma"/>
                <w:sz w:val="22"/>
                <w:szCs w:val="22"/>
              </w:rPr>
              <w:t>я</w:t>
            </w:r>
            <w:r w:rsidRPr="0001544C">
              <w:rPr>
                <w:rFonts w:asciiTheme="majorHAnsi" w:hAnsiTheme="majorHAnsi" w:cs="Tahoma"/>
                <w:sz w:val="22"/>
                <w:szCs w:val="22"/>
              </w:rPr>
              <w:t>дерний</w:t>
            </w:r>
            <w:proofErr w:type="spellEnd"/>
            <w:r w:rsidR="00DB2627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DB2627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Intel</w:t>
            </w:r>
            <w:r w:rsidR="00DB2627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DB2627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Core</w:t>
            </w:r>
            <w:r w:rsidR="00DB2627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60553A" w:rsidRPr="0001544C">
              <w:rPr>
                <w:rFonts w:asciiTheme="majorHAnsi" w:hAnsiTheme="majorHAnsi" w:cs="Tahoma"/>
                <w:sz w:val="22"/>
                <w:szCs w:val="22"/>
              </w:rPr>
              <w:t>i5-5200U (2.2</w:t>
            </w:r>
            <w:r w:rsidRPr="0001544C">
              <w:rPr>
                <w:rFonts w:asciiTheme="majorHAnsi" w:hAnsiTheme="majorHAnsi" w:cs="Tahoma"/>
                <w:sz w:val="22"/>
                <w:szCs w:val="22"/>
              </w:rPr>
              <w:t xml:space="preserve"> ГГц);</w:t>
            </w:r>
          </w:p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Об</w:t>
            </w:r>
            <w:r w:rsidR="00477390" w:rsidRPr="0001544C">
              <w:rPr>
                <w:rFonts w:asciiTheme="majorHAnsi" w:hAnsiTheme="majorHAnsi" w:cs="Tahoma"/>
                <w:b/>
                <w:sz w:val="22"/>
                <w:szCs w:val="22"/>
              </w:rPr>
              <w:t>ъе</w:t>
            </w: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м </w:t>
            </w:r>
            <w:r w:rsidR="00125BFE" w:rsidRPr="0001544C">
              <w:rPr>
                <w:rFonts w:asciiTheme="majorHAnsi" w:hAnsiTheme="majorHAnsi" w:cs="Tahoma"/>
                <w:b/>
                <w:sz w:val="22"/>
                <w:szCs w:val="22"/>
              </w:rPr>
              <w:t>оперативной памяти</w:t>
            </w: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:  </w:t>
            </w:r>
            <w:r w:rsidR="0060553A" w:rsidRPr="0001544C">
              <w:rPr>
                <w:rFonts w:asciiTheme="majorHAnsi" w:hAnsiTheme="majorHAnsi" w:cs="Tahoma"/>
                <w:sz w:val="22"/>
                <w:szCs w:val="22"/>
              </w:rPr>
              <w:t>4</w:t>
            </w:r>
            <w:r w:rsidRPr="0001544C">
              <w:rPr>
                <w:rFonts w:asciiTheme="majorHAnsi" w:hAnsiTheme="majorHAnsi" w:cs="Tahoma"/>
                <w:sz w:val="22"/>
                <w:szCs w:val="22"/>
              </w:rPr>
              <w:t>Гб;</w:t>
            </w:r>
          </w:p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Тип </w:t>
            </w:r>
            <w:r w:rsidR="00125BFE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оперативной </w:t>
            </w:r>
            <w:r w:rsidR="00D817DB" w:rsidRPr="0001544C">
              <w:rPr>
                <w:rFonts w:asciiTheme="majorHAnsi" w:hAnsiTheme="majorHAnsi" w:cs="Tahoma"/>
                <w:b/>
                <w:sz w:val="22"/>
                <w:szCs w:val="22"/>
              </w:rPr>
              <w:t>памяти</w:t>
            </w: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:  </w:t>
            </w:r>
            <w:r w:rsidRPr="0001544C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DDR</w:t>
            </w:r>
            <w:r w:rsidRPr="0001544C">
              <w:rPr>
                <w:rFonts w:asciiTheme="majorHAnsi" w:hAnsiTheme="majorHAnsi" w:cs="Tahoma"/>
                <w:sz w:val="22"/>
                <w:szCs w:val="22"/>
              </w:rPr>
              <w:t>3-1600;</w:t>
            </w:r>
          </w:p>
          <w:p w:rsidR="000E7E12" w:rsidRPr="0001544C" w:rsidRDefault="00D817DB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Чи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псет: </w:t>
            </w:r>
            <w:r w:rsidR="000E7E12" w:rsidRPr="0001544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Intel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HM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76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Express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F64989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Графический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 адаптер: </w:t>
            </w:r>
            <w:r w:rsidRPr="0001544C">
              <w:rPr>
                <w:rFonts w:asciiTheme="majorHAnsi" w:hAnsiTheme="majorHAnsi" w:cs="Tahoma"/>
                <w:sz w:val="22"/>
                <w:szCs w:val="22"/>
              </w:rPr>
              <w:t>дискретны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й, </w:t>
            </w:r>
            <w:r w:rsidR="000E7E12" w:rsidRPr="0001544C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до  2 ГБ </w:t>
            </w:r>
            <w:r w:rsidR="0096406B" w:rsidRPr="0001544C">
              <w:rPr>
                <w:rFonts w:asciiTheme="majorHAnsi" w:hAnsiTheme="majorHAnsi" w:cs="Tahoma"/>
                <w:sz w:val="22"/>
                <w:szCs w:val="22"/>
              </w:rPr>
              <w:t>выделенной памяти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Об</w:t>
            </w:r>
            <w:r w:rsidR="0096406B" w:rsidRPr="0001544C">
              <w:rPr>
                <w:rFonts w:asciiTheme="majorHAnsi" w:hAnsiTheme="majorHAnsi" w:cs="Tahoma"/>
                <w:b/>
                <w:sz w:val="22"/>
                <w:szCs w:val="22"/>
              </w:rPr>
              <w:t>ъе</w:t>
            </w: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м </w:t>
            </w:r>
            <w:r w:rsidRPr="0001544C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>HDD</w:t>
            </w: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: </w:t>
            </w:r>
            <w:r w:rsidR="00F00477" w:rsidRPr="0001544C">
              <w:rPr>
                <w:rFonts w:asciiTheme="majorHAnsi" w:hAnsiTheme="majorHAnsi" w:cs="Tahoma"/>
                <w:sz w:val="22"/>
                <w:szCs w:val="22"/>
              </w:rPr>
              <w:t>500</w:t>
            </w:r>
            <w:r w:rsidRPr="0001544C">
              <w:rPr>
                <w:rFonts w:asciiTheme="majorHAnsi" w:hAnsiTheme="majorHAnsi" w:cs="Tahoma"/>
                <w:sz w:val="22"/>
                <w:szCs w:val="22"/>
              </w:rPr>
              <w:t xml:space="preserve"> ГБ;</w:t>
            </w:r>
          </w:p>
          <w:p w:rsidR="000E7E12" w:rsidRPr="0001544C" w:rsidRDefault="00396A93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Сетевые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адаптеры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: </w:t>
            </w:r>
            <w:r w:rsidR="000E7E12" w:rsidRPr="0001544C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Wi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-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Fi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 802.1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</w:rPr>
              <w:t xml:space="preserve">1 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b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</w:rPr>
              <w:t>/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g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</w:rPr>
              <w:t>/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n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</w:rPr>
              <w:t xml:space="preserve">, 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Bluetooth</w:t>
            </w:r>
            <w:r w:rsidR="00683B0B" w:rsidRPr="0001544C">
              <w:rPr>
                <w:rFonts w:asciiTheme="majorHAnsi" w:hAnsiTheme="majorHAnsi" w:cs="Tahoma"/>
                <w:sz w:val="22"/>
                <w:szCs w:val="22"/>
              </w:rPr>
              <w:t xml:space="preserve"> 4.0, </w:t>
            </w:r>
            <w:proofErr w:type="spellStart"/>
            <w:r w:rsidR="00683B0B" w:rsidRPr="0001544C">
              <w:rPr>
                <w:rFonts w:asciiTheme="majorHAnsi" w:hAnsiTheme="majorHAnsi" w:cs="Tahoma"/>
                <w:sz w:val="22"/>
                <w:szCs w:val="22"/>
              </w:rPr>
              <w:t>Lan</w:t>
            </w:r>
            <w:proofErr w:type="spellEnd"/>
            <w:proofErr w:type="gramStart"/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  <w:proofErr w:type="gramEnd"/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br/>
            </w:r>
            <w:r w:rsidR="002C7798" w:rsidRPr="0001544C">
              <w:rPr>
                <w:rFonts w:asciiTheme="majorHAnsi" w:hAnsiTheme="majorHAnsi" w:cs="Tahoma"/>
                <w:b/>
                <w:sz w:val="22"/>
                <w:szCs w:val="22"/>
              </w:rPr>
              <w:t>Оптический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="002C7798" w:rsidRPr="0001544C">
              <w:rPr>
                <w:rFonts w:asciiTheme="majorHAnsi" w:hAnsiTheme="majorHAnsi" w:cs="Tahoma"/>
                <w:b/>
                <w:sz w:val="22"/>
                <w:szCs w:val="22"/>
              </w:rPr>
              <w:t>привод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: </w:t>
            </w:r>
            <w:r w:rsidR="000E7E12" w:rsidRPr="0001544C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DVD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Super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Multi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</w:tc>
      </w:tr>
      <w:tr w:rsidR="000E7E12" w:rsidRPr="00FA3944" w:rsidTr="0001544C">
        <w:trPr>
          <w:trHeight w:val="699"/>
        </w:trPr>
        <w:tc>
          <w:tcPr>
            <w:tcW w:w="675" w:type="dxa"/>
            <w:vMerge/>
            <w:shd w:val="clear" w:color="auto" w:fill="auto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7E12" w:rsidRPr="0001544C" w:rsidRDefault="008849D0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Гарнит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ура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E7E12" w:rsidRPr="0001544C" w:rsidRDefault="004609EE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sz w:val="22"/>
                <w:szCs w:val="22"/>
                <w:lang w:val="en-US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3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0E7E12" w:rsidRPr="0001544C" w:rsidRDefault="008849D0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Тип наушнико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в: </w:t>
            </w:r>
            <w:proofErr w:type="gramStart"/>
            <w:r w:rsidR="00B51785" w:rsidRPr="0001544C">
              <w:rPr>
                <w:rFonts w:asciiTheme="majorHAnsi" w:hAnsiTheme="majorHAnsi" w:cs="Tahoma"/>
                <w:b/>
                <w:sz w:val="22"/>
                <w:szCs w:val="22"/>
              </w:rPr>
              <w:t>полузакрытые</w:t>
            </w:r>
            <w:proofErr w:type="gramEnd"/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4C20D0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 xml:space="preserve">Тип </w:t>
            </w:r>
            <w:proofErr w:type="spellStart"/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по</w:t>
            </w:r>
            <w:r w:rsidR="000E7E12" w:rsidRPr="0001544C">
              <w:rPr>
                <w:rFonts w:asciiTheme="majorHAnsi" w:hAnsiTheme="majorHAnsi" w:cs="Tahoma"/>
                <w:b/>
                <w:sz w:val="22"/>
                <w:szCs w:val="22"/>
              </w:rPr>
              <w:t>дключення</w:t>
            </w:r>
            <w:proofErr w:type="spellEnd"/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proofErr w:type="gramStart"/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кабельное</w:t>
            </w:r>
            <w:proofErr w:type="gramEnd"/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B51785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Ин</w:t>
            </w:r>
            <w:r w:rsidR="0013565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терфейс </w:t>
            </w:r>
            <w:proofErr w:type="spellStart"/>
            <w:r w:rsidR="0013565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проводового</w:t>
            </w:r>
            <w:proofErr w:type="spellEnd"/>
            <w:r w:rsidR="0013565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 подключени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я: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1 x USB;</w:t>
            </w:r>
          </w:p>
          <w:p w:rsidR="000E7E12" w:rsidRPr="0001544C" w:rsidRDefault="00B51785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Диа</w:t>
            </w:r>
            <w:r w:rsidR="00564FA5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пазон частот наушнико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в: </w:t>
            </w:r>
            <w:r w:rsidR="000E7E12" w:rsidRPr="0001544C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20 - 20000 Гц;</w:t>
            </w:r>
            <w:r w:rsidR="000E7E12" w:rsidRPr="0001544C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E7E12" w:rsidRPr="0001544C" w:rsidRDefault="006A077F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Чувствительность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 </w:t>
            </w: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наушников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r w:rsidR="000E7E12" w:rsidRPr="0001544C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65 дБ;</w:t>
            </w:r>
          </w:p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Тип </w:t>
            </w:r>
            <w:r w:rsidR="006A077F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микрофона</w:t>
            </w: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r w:rsidR="004A365A" w:rsidRPr="0001544C">
              <w:rPr>
                <w:rFonts w:asciiTheme="majorHAnsi" w:hAnsiTheme="majorHAnsi" w:cs="Tahoma"/>
                <w:sz w:val="22"/>
                <w:szCs w:val="22"/>
              </w:rPr>
              <w:t>динамичный</w:t>
            </w:r>
            <w:r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4A365A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Конструкция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 </w:t>
            </w: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микрофона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proofErr w:type="gramStart"/>
            <w:r w:rsidRPr="0001544C">
              <w:rPr>
                <w:rFonts w:asciiTheme="majorHAnsi" w:hAnsiTheme="majorHAnsi" w:cs="Tahoma"/>
                <w:sz w:val="22"/>
                <w:szCs w:val="22"/>
              </w:rPr>
              <w:t>поворотный</w:t>
            </w:r>
            <w:proofErr w:type="gramEnd"/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6B2D39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Направленность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 </w:t>
            </w: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микрофона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r w:rsidR="001C5B37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Однонаправленный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;</w:t>
            </w:r>
          </w:p>
          <w:p w:rsidR="000E7E12" w:rsidRPr="0001544C" w:rsidRDefault="001C5B37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Диапазон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 частот </w:t>
            </w: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микрофона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100 - 16 000 Гц.</w:t>
            </w:r>
          </w:p>
        </w:tc>
      </w:tr>
      <w:tr w:rsidR="000E7E12" w:rsidRPr="00FA3944" w:rsidTr="0001544C">
        <w:trPr>
          <w:trHeight w:val="999"/>
        </w:trPr>
        <w:tc>
          <w:tcPr>
            <w:tcW w:w="675" w:type="dxa"/>
            <w:vMerge/>
            <w:shd w:val="clear" w:color="auto" w:fill="auto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7E12" w:rsidRPr="0001544C" w:rsidRDefault="0088488B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Мыш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 xml:space="preserve">ка для ПК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E7E12" w:rsidRPr="0001544C" w:rsidRDefault="004609EE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3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0E7E12" w:rsidRPr="0001544C" w:rsidRDefault="0088488B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Тип датчика: оптически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й.</w:t>
            </w:r>
          </w:p>
          <w:p w:rsidR="000E7E12" w:rsidRPr="0001544C" w:rsidRDefault="0088488B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Интерфейс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USB;</w:t>
            </w:r>
          </w:p>
          <w:p w:rsidR="000E7E12" w:rsidRPr="0001544C" w:rsidRDefault="00F94841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Количество 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кнопок: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2;</w:t>
            </w:r>
          </w:p>
          <w:p w:rsidR="000E7E12" w:rsidRPr="0001544C" w:rsidRDefault="00F94841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</w:pPr>
            <w:r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>Длина кабеля</w:t>
            </w:r>
            <w:r w:rsidR="000E7E12" w:rsidRPr="0001544C">
              <w:rPr>
                <w:rFonts w:asciiTheme="majorHAnsi" w:hAnsiTheme="majorHAnsi" w:cs="Arial"/>
                <w:b/>
                <w:sz w:val="22"/>
                <w:szCs w:val="22"/>
                <w:lang w:eastAsia="ko-KR"/>
              </w:rPr>
              <w:t xml:space="preserve">: </w:t>
            </w:r>
            <w:r w:rsidR="000E7E12" w:rsidRPr="0001544C">
              <w:rPr>
                <w:rFonts w:asciiTheme="majorHAnsi" w:hAnsiTheme="majorHAnsi" w:cs="Tahoma"/>
                <w:sz w:val="22"/>
                <w:szCs w:val="22"/>
              </w:rPr>
              <w:t>1.8-2м.</w:t>
            </w:r>
          </w:p>
        </w:tc>
      </w:tr>
      <w:tr w:rsidR="000E7E12" w:rsidRPr="00FA3944" w:rsidTr="0001544C">
        <w:trPr>
          <w:trHeight w:val="370"/>
        </w:trPr>
        <w:tc>
          <w:tcPr>
            <w:tcW w:w="675" w:type="dxa"/>
            <w:vMerge/>
            <w:shd w:val="clear" w:color="auto" w:fill="auto"/>
            <w:vAlign w:val="center"/>
          </w:tcPr>
          <w:p w:rsidR="000E7E12" w:rsidRPr="0001544C" w:rsidRDefault="000E7E12" w:rsidP="000E7E12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7E12" w:rsidRPr="0001544C" w:rsidRDefault="000860B4" w:rsidP="0001544C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Монитор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E7E12" w:rsidRPr="0001544C" w:rsidRDefault="000860B4" w:rsidP="000E7E12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sz w:val="22"/>
                <w:szCs w:val="22"/>
                <w:lang w:val="en-US"/>
              </w:rPr>
            </w:pPr>
            <w:r w:rsidRPr="0001544C"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0E7E12" w:rsidRPr="0001544C" w:rsidRDefault="00F94841" w:rsidP="004609EE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sz w:val="22"/>
                <w:szCs w:val="22"/>
                <w:lang w:val="en-US"/>
              </w:rPr>
            </w:pPr>
            <w:r w:rsidRPr="0001544C">
              <w:rPr>
                <w:rFonts w:asciiTheme="majorHAnsi" w:hAnsiTheme="majorHAnsi" w:cs="Tahoma"/>
                <w:b/>
                <w:sz w:val="22"/>
                <w:szCs w:val="22"/>
              </w:rPr>
              <w:t>Э</w:t>
            </w:r>
            <w:r w:rsidR="0023279C" w:rsidRPr="0001544C">
              <w:rPr>
                <w:rFonts w:asciiTheme="majorHAnsi" w:hAnsiTheme="majorHAnsi" w:cs="Tahoma"/>
                <w:b/>
                <w:sz w:val="22"/>
                <w:szCs w:val="22"/>
              </w:rPr>
              <w:t>кран</w:t>
            </w:r>
            <w:r w:rsidR="0023279C" w:rsidRPr="0001544C">
              <w:rPr>
                <w:rFonts w:asciiTheme="majorHAnsi" w:hAnsiTheme="majorHAnsi" w:cs="Tahoma"/>
                <w:b/>
                <w:sz w:val="22"/>
                <w:szCs w:val="22"/>
                <w:lang w:val="en-US"/>
              </w:rPr>
              <w:t xml:space="preserve">: </w:t>
            </w:r>
            <w:r w:rsidR="00914032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1</w:t>
            </w:r>
            <w:r w:rsidR="00914032" w:rsidRPr="0001544C">
              <w:rPr>
                <w:rFonts w:asciiTheme="majorHAnsi" w:hAnsiTheme="majorHAnsi" w:cs="Tahoma"/>
                <w:sz w:val="22"/>
                <w:szCs w:val="22"/>
              </w:rPr>
              <w:t>9</w:t>
            </w:r>
            <w:r w:rsidR="00716876" w:rsidRPr="0001544C">
              <w:rPr>
                <w:rFonts w:asciiTheme="majorHAnsi" w:hAnsiTheme="majorHAnsi" w:cs="Tahoma"/>
                <w:sz w:val="22"/>
                <w:szCs w:val="22"/>
              </w:rPr>
              <w:t>-21</w:t>
            </w:r>
            <w:r w:rsidR="00716876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" (</w:t>
            </w:r>
            <w:r w:rsidR="00716876" w:rsidRPr="0001544C">
              <w:rPr>
                <w:rFonts w:asciiTheme="majorHAnsi" w:hAnsiTheme="majorHAnsi" w:cs="Tahoma"/>
                <w:sz w:val="22"/>
                <w:szCs w:val="22"/>
              </w:rPr>
              <w:t>19</w:t>
            </w:r>
            <w:r w:rsidR="004609EE" w:rsidRPr="0001544C">
              <w:rPr>
                <w:rFonts w:asciiTheme="majorHAnsi" w:hAnsiTheme="majorHAnsi" w:cs="Tahoma"/>
                <w:sz w:val="22"/>
                <w:szCs w:val="22"/>
              </w:rPr>
              <w:t>20x</w:t>
            </w:r>
            <w:r w:rsidR="00723C90" w:rsidRPr="0001544C">
              <w:rPr>
                <w:rFonts w:asciiTheme="majorHAnsi" w:hAnsiTheme="majorHAnsi" w:cs="Tahoma"/>
                <w:sz w:val="22"/>
                <w:szCs w:val="22"/>
              </w:rPr>
              <w:t>1080</w:t>
            </w:r>
            <w:r w:rsidR="00723C90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 xml:space="preserve">) </w:t>
            </w:r>
            <w:r w:rsidR="00723C90" w:rsidRPr="0001544C">
              <w:rPr>
                <w:rFonts w:asciiTheme="majorHAnsi" w:hAnsiTheme="majorHAnsi" w:cs="Tahoma"/>
                <w:sz w:val="22"/>
                <w:szCs w:val="22"/>
              </w:rPr>
              <w:t>FULL</w:t>
            </w:r>
            <w:r w:rsidR="0023279C" w:rsidRPr="0001544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23279C" w:rsidRPr="0001544C">
              <w:rPr>
                <w:rFonts w:asciiTheme="majorHAnsi" w:hAnsiTheme="majorHAnsi" w:cs="Tahoma"/>
                <w:sz w:val="22"/>
                <w:szCs w:val="22"/>
                <w:lang w:val="en-US"/>
              </w:rPr>
              <w:t>HD;</w:t>
            </w:r>
          </w:p>
        </w:tc>
      </w:tr>
    </w:tbl>
    <w:p w:rsidR="000E7E12" w:rsidRPr="000E7E12" w:rsidRDefault="000E7E12">
      <w:pPr>
        <w:pStyle w:val="10"/>
        <w:jc w:val="both"/>
      </w:pPr>
    </w:p>
    <w:p w:rsidR="00E31A7A" w:rsidRPr="000E7E12" w:rsidRDefault="00AD7CCE">
      <w:pPr>
        <w:pStyle w:val="3"/>
      </w:pPr>
      <w:r w:rsidRPr="000E7E12">
        <w:rPr>
          <w:rFonts w:ascii="Cambria" w:eastAsia="Cambria" w:hAnsi="Cambria" w:cs="Cambria"/>
        </w:rPr>
        <w:t>ОЖИДАЕМЫЙ РЕЗУЛЬТАТ</w:t>
      </w:r>
    </w:p>
    <w:p w:rsidR="000E7E12" w:rsidRPr="000E7E12" w:rsidRDefault="000E7E12" w:rsidP="000E7E12">
      <w:pPr>
        <w:jc w:val="both"/>
      </w:pPr>
      <w:r w:rsidRPr="000E7E12">
        <w:t>Определение поставщика компьютерной техники с указанными минимальными характеристиками. Качественное предоставление товара  в короткие сроки.</w:t>
      </w:r>
    </w:p>
    <w:p w:rsidR="00E31A7A" w:rsidRPr="000E7E12" w:rsidRDefault="00AD7CCE">
      <w:pPr>
        <w:pStyle w:val="3"/>
      </w:pPr>
      <w:r w:rsidRPr="000E7E12">
        <w:rPr>
          <w:rFonts w:ascii="Cambria" w:eastAsia="Cambria" w:hAnsi="Cambria" w:cs="Cambria"/>
        </w:rPr>
        <w:t>КВАЛИФИКАЦИОННЫЕ ТРЕБОВАНИЯ</w:t>
      </w: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В тендере могут участвовать компании</w:t>
      </w:r>
      <w:r w:rsidR="000E7E12" w:rsidRPr="000E7E12">
        <w:t>, которые специализируются по предоставлению услуг обеспечения оргтехникой</w:t>
      </w:r>
      <w:r w:rsidRPr="000E7E12">
        <w:t xml:space="preserve"> и физические лица-предприниматели, которые предоставляют </w:t>
      </w:r>
      <w:r w:rsidR="000E7E12" w:rsidRPr="000E7E12">
        <w:t xml:space="preserve">выше обозначенные </w:t>
      </w:r>
      <w:r w:rsidRPr="000E7E12">
        <w:t xml:space="preserve"> услуги.</w:t>
      </w:r>
    </w:p>
    <w:p w:rsidR="000E7E12" w:rsidRPr="000E7E12" w:rsidRDefault="000E7E12">
      <w:pPr>
        <w:pStyle w:val="10"/>
        <w:spacing w:after="0" w:line="240" w:lineRule="auto"/>
        <w:jc w:val="both"/>
      </w:pP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Минимальные требования к поставщикам услуг:</w:t>
      </w:r>
    </w:p>
    <w:p w:rsidR="00E31A7A" w:rsidRPr="000E7E12" w:rsidRDefault="00E31A7A">
      <w:pPr>
        <w:pStyle w:val="10"/>
        <w:spacing w:after="0" w:line="240" w:lineRule="auto"/>
        <w:jc w:val="both"/>
      </w:pP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 xml:space="preserve">- Наличие опыта работы в сфере предоставления </w:t>
      </w:r>
      <w:r w:rsidR="000E7E12" w:rsidRPr="000E7E12">
        <w:t>компьютерной продукции</w:t>
      </w:r>
      <w:r w:rsidR="000E7E12">
        <w:t xml:space="preserve"> - </w:t>
      </w:r>
      <w:r w:rsidRPr="000E7E12">
        <w:t>не менее 3 лет, подтверждённый документально.</w:t>
      </w:r>
    </w:p>
    <w:p w:rsidR="00E31A7A" w:rsidRPr="000E7E12" w:rsidRDefault="00AD7CCE" w:rsidP="00FA3944">
      <w:pPr>
        <w:pStyle w:val="10"/>
        <w:spacing w:after="0" w:line="240" w:lineRule="auto"/>
        <w:jc w:val="both"/>
      </w:pPr>
      <w:r w:rsidRPr="000E7E12">
        <w:t xml:space="preserve">- </w:t>
      </w:r>
      <w:r w:rsidR="00FA3944" w:rsidRPr="00FA3944">
        <w:t>Гарантия на компьютерную технику не менее 12 месяцев.</w:t>
      </w: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- Готовность работать с освобождением от НДС.</w:t>
      </w:r>
    </w:p>
    <w:p w:rsidR="00E31A7A" w:rsidRPr="000E7E12" w:rsidRDefault="00AD7CCE">
      <w:pPr>
        <w:pStyle w:val="3"/>
      </w:pPr>
      <w:r w:rsidRPr="000E7E12">
        <w:rPr>
          <w:rFonts w:ascii="Cambria" w:eastAsia="Cambria" w:hAnsi="Cambria" w:cs="Cambria"/>
        </w:rPr>
        <w:t>КЛЮЧЕВЫЕ КРИТЕРИИ ОЦЕНКИ</w:t>
      </w:r>
    </w:p>
    <w:p w:rsidR="00E31A7A" w:rsidRPr="000E7E12" w:rsidRDefault="00AD7CCE" w:rsidP="00FA3944">
      <w:pPr>
        <w:pStyle w:val="10"/>
        <w:spacing w:line="240" w:lineRule="atLeast"/>
        <w:jc w:val="both"/>
      </w:pPr>
      <w:r w:rsidRPr="000E7E12">
        <w:t>Тендерное предложение (вместе с приложениями к нему) должно соответствовать следующим критериям:</w:t>
      </w:r>
    </w:p>
    <w:p w:rsidR="00E31A7A" w:rsidRPr="000E7E12" w:rsidRDefault="00AD7CCE" w:rsidP="00FA3944">
      <w:pPr>
        <w:pStyle w:val="10"/>
        <w:spacing w:line="240" w:lineRule="atLeast"/>
        <w:jc w:val="both"/>
      </w:pPr>
      <w:r w:rsidRPr="000E7E12">
        <w:t>• Соответствие задачам и условиям тендера;</w:t>
      </w:r>
    </w:p>
    <w:p w:rsidR="00E31A7A" w:rsidRPr="000E7E12" w:rsidRDefault="00AD7CCE" w:rsidP="00FA3944">
      <w:pPr>
        <w:pStyle w:val="10"/>
        <w:spacing w:line="240" w:lineRule="atLeast"/>
        <w:jc w:val="both"/>
      </w:pPr>
      <w:r w:rsidRPr="000E7E12">
        <w:t>• Конкурентоспособные и реалистичные расценки. Прейскурант на основные виды сервиса.</w:t>
      </w:r>
    </w:p>
    <w:p w:rsidR="00E31A7A" w:rsidRPr="000E7E12" w:rsidRDefault="00AD7CCE" w:rsidP="00FA3944">
      <w:pPr>
        <w:pStyle w:val="10"/>
        <w:spacing w:line="240" w:lineRule="atLeast"/>
        <w:jc w:val="both"/>
      </w:pPr>
      <w:r w:rsidRPr="000E7E12">
        <w:t>• Назначение постоянного менеджера для координации выполнения всех этапов работ.</w:t>
      </w:r>
      <w:r w:rsidRPr="000E7E12">
        <w:rPr>
          <w:rFonts w:ascii="Calibri" w:eastAsia="Calibri" w:hAnsi="Calibri" w:cs="Calibri"/>
        </w:rPr>
        <w:t xml:space="preserve"> </w:t>
      </w:r>
    </w:p>
    <w:p w:rsidR="00E31A7A" w:rsidRPr="000E7E12" w:rsidRDefault="00AD7CCE" w:rsidP="00FA3944">
      <w:pPr>
        <w:pStyle w:val="10"/>
        <w:spacing w:after="0" w:line="240" w:lineRule="atLeast"/>
        <w:jc w:val="both"/>
        <w:rPr>
          <w:b/>
        </w:rPr>
      </w:pPr>
      <w:r w:rsidRPr="000E7E12">
        <w:rPr>
          <w:b/>
        </w:rPr>
        <w:t>Критерии оценки тендерных предложений, которые будут отвечать обязательным техническим и квалификационным требованиям, и их весовые коэффициенты:</w:t>
      </w:r>
    </w:p>
    <w:p w:rsidR="00254106" w:rsidRPr="000E7E12" w:rsidRDefault="00254106">
      <w:pPr>
        <w:pStyle w:val="10"/>
        <w:spacing w:after="0" w:line="240" w:lineRule="auto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12"/>
        <w:gridCol w:w="1701"/>
        <w:gridCol w:w="3118"/>
      </w:tblGrid>
      <w:tr w:rsidR="00FA3944" w:rsidRPr="003E532B" w:rsidTr="005460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A3944" w:rsidRPr="00FA3944" w:rsidRDefault="00FA3944" w:rsidP="00546051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uk-UA"/>
              </w:rPr>
            </w:pPr>
            <w:r w:rsidRPr="00FA3944">
              <w:rPr>
                <w:rFonts w:asciiTheme="majorHAnsi" w:hAnsiTheme="majorHAnsi" w:cs="Tahoma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A3944" w:rsidRPr="00FA3944" w:rsidRDefault="00FA3944" w:rsidP="00546051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A3944">
              <w:rPr>
                <w:rFonts w:asciiTheme="majorHAnsi" w:hAnsiTheme="majorHAnsi" w:cs="Tahoma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A3944" w:rsidRPr="00FA3944" w:rsidRDefault="00FA3944" w:rsidP="00546051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A3944">
              <w:rPr>
                <w:rFonts w:asciiTheme="majorHAnsi" w:hAnsiTheme="majorHAnsi" w:cs="Tahoma"/>
                <w:b/>
                <w:sz w:val="22"/>
                <w:szCs w:val="22"/>
              </w:rPr>
              <w:t xml:space="preserve">Весовой коэффициент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A3944" w:rsidRPr="00FA3944" w:rsidRDefault="00FA3944" w:rsidP="00546051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A3944">
              <w:rPr>
                <w:rFonts w:asciiTheme="majorHAnsi" w:hAnsiTheme="majorHAnsi"/>
                <w:b/>
                <w:smallCaps/>
                <w:sz w:val="22"/>
                <w:szCs w:val="22"/>
              </w:rPr>
              <w:t>ДОКУМЕНТЫ, КОТОРЫЕ ПОДТВЕРЖДАЮТ СООТВЕТСТВИЕ КРИТЕРИЯМ</w:t>
            </w:r>
          </w:p>
        </w:tc>
      </w:tr>
      <w:tr w:rsidR="00FA3944" w:rsidRPr="003E532B" w:rsidTr="005460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4" w:rsidRPr="00FA3944" w:rsidRDefault="00FA3944" w:rsidP="00546051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b/>
                <w:sz w:val="22"/>
                <w:szCs w:val="22"/>
                <w:lang w:val="uk-UA"/>
              </w:rPr>
            </w:pPr>
            <w:r w:rsidRPr="00FA3944">
              <w:rPr>
                <w:rFonts w:asciiTheme="majorHAnsi" w:hAnsiTheme="majorHAnsi" w:cs="Tahoma"/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4" w:rsidRPr="00014951" w:rsidRDefault="00FA3944" w:rsidP="00546051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14951">
              <w:rPr>
                <w:rFonts w:asciiTheme="majorHAnsi" w:hAnsiTheme="majorHAnsi" w:cs="Tahoma"/>
                <w:b/>
                <w:sz w:val="22"/>
                <w:szCs w:val="22"/>
              </w:rPr>
              <w:t>Общая стоимость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44" w:rsidRPr="00FA3944" w:rsidRDefault="00FA3944" w:rsidP="00546051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uk-UA"/>
              </w:rPr>
            </w:pPr>
            <w:r w:rsidRPr="00FA3944">
              <w:rPr>
                <w:rFonts w:asciiTheme="majorHAnsi" w:hAnsiTheme="majorHAnsi" w:cs="Tahoma"/>
                <w:b/>
                <w:sz w:val="22"/>
                <w:szCs w:val="22"/>
                <w:lang w:val="uk-UA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44" w:rsidRPr="00014951" w:rsidRDefault="00512963" w:rsidP="00546051">
            <w:pPr>
              <w:pStyle w:val="a6"/>
              <w:spacing w:before="0" w:beforeAutospacing="0" w:after="0" w:afterAutospacing="0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Счет-фактура</w:t>
            </w:r>
          </w:p>
        </w:tc>
      </w:tr>
    </w:tbl>
    <w:p w:rsidR="00E31A7A" w:rsidRPr="000E7E12" w:rsidRDefault="00E31A7A">
      <w:pPr>
        <w:pStyle w:val="10"/>
        <w:spacing w:after="0" w:line="240" w:lineRule="auto"/>
        <w:jc w:val="both"/>
      </w:pPr>
    </w:p>
    <w:p w:rsidR="00E31A7A" w:rsidRPr="000E7E12" w:rsidRDefault="00AD7CCE">
      <w:pPr>
        <w:pStyle w:val="10"/>
        <w:jc w:val="both"/>
      </w:pPr>
      <w:r w:rsidRPr="000E7E12">
        <w:t xml:space="preserve">В результате тендерного отбора будет отобрано </w:t>
      </w:r>
      <w:r w:rsidR="00014951" w:rsidRPr="00014951">
        <w:t>компания-поставщик</w:t>
      </w:r>
      <w:r w:rsidRPr="00014951">
        <w:t xml:space="preserve"> услуг.</w:t>
      </w:r>
      <w:r w:rsidRPr="000E7E12">
        <w:t xml:space="preserve"> Отбор непосредственного исполнителя каждого отдельного заказа будет осуществляться путём сравнения ценовых предложений от компаний-поставщиков с учётом оптимальной цены, срока выполнения работ и загруженности каждого из поставщиков предварительными заказами.</w:t>
      </w:r>
    </w:p>
    <w:p w:rsidR="0001544C" w:rsidRDefault="0001544C">
      <w:pPr>
        <w:pStyle w:val="10"/>
        <w:spacing w:after="0"/>
        <w:rPr>
          <w:b/>
          <w:i/>
          <w:color w:val="4F81BD"/>
        </w:rPr>
      </w:pPr>
    </w:p>
    <w:p w:rsidR="00E31A7A" w:rsidRPr="000E7E12" w:rsidRDefault="00AD7CCE">
      <w:pPr>
        <w:pStyle w:val="10"/>
        <w:spacing w:after="0"/>
      </w:pPr>
      <w:r w:rsidRPr="000E7E12">
        <w:rPr>
          <w:b/>
          <w:i/>
          <w:color w:val="4F81BD"/>
        </w:rPr>
        <w:lastRenderedPageBreak/>
        <w:t>УСЛОВИЯ ОПЛАТЫ:</w:t>
      </w:r>
    </w:p>
    <w:p w:rsidR="00E31A7A" w:rsidRPr="00C14C2E" w:rsidRDefault="00AD7CCE" w:rsidP="00C14C2E">
      <w:pPr>
        <w:pStyle w:val="10"/>
        <w:spacing w:after="0"/>
      </w:pPr>
      <w:r w:rsidRPr="000E7E12">
        <w:rPr>
          <w:color w:val="222222"/>
        </w:rPr>
        <w:t>Платёж общ</w:t>
      </w:r>
      <w:r w:rsidR="00C14C2E">
        <w:rPr>
          <w:color w:val="222222"/>
        </w:rPr>
        <w:t>ей суммы контракта производится</w:t>
      </w:r>
      <w:r w:rsidR="00C14C2E" w:rsidRPr="00C14C2E">
        <w:rPr>
          <w:color w:val="222222"/>
        </w:rPr>
        <w:t xml:space="preserve"> 100%.</w:t>
      </w:r>
    </w:p>
    <w:p w:rsidR="00E31A7A" w:rsidRPr="000E7E12" w:rsidRDefault="00AD7CCE">
      <w:pPr>
        <w:pStyle w:val="10"/>
        <w:spacing w:before="100" w:after="100"/>
      </w:pPr>
      <w:r w:rsidRPr="000E7E12">
        <w:rPr>
          <w:b/>
          <w:color w:val="4F81BD"/>
        </w:rPr>
        <w:t>ПРОЦЕДУРЫ ПОДАЧИ ЗАЯВОК:</w:t>
      </w:r>
    </w:p>
    <w:p w:rsidR="00E31A7A" w:rsidRPr="000E7E12" w:rsidRDefault="00AD7CCE">
      <w:pPr>
        <w:pStyle w:val="10"/>
        <w:spacing w:before="100" w:after="100"/>
      </w:pPr>
      <w:r w:rsidRPr="000E7E12">
        <w:t>Для участия в тендере необходимо предоставить:</w:t>
      </w:r>
    </w:p>
    <w:p w:rsidR="00E31A7A" w:rsidRPr="00C14C2E" w:rsidRDefault="00AD7CCE">
      <w:pPr>
        <w:pStyle w:val="10"/>
        <w:ind w:left="90"/>
        <w:jc w:val="both"/>
      </w:pPr>
      <w:r w:rsidRPr="000E7E12">
        <w:t xml:space="preserve">а) </w:t>
      </w:r>
      <w:proofErr w:type="gramStart"/>
      <w:r w:rsidR="00C14C2E">
        <w:t>скан-копии</w:t>
      </w:r>
      <w:proofErr w:type="gramEnd"/>
      <w:r w:rsidR="00C14C2E">
        <w:t xml:space="preserve"> всех регистрационных документов</w:t>
      </w: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 xml:space="preserve"> б) для юридического лица:</w:t>
      </w: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- копии учредительных документов (в действующей редакции), с приложением имеющихся изменений, заверенные подписью руководителя и печатью юридического лица;</w:t>
      </w: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- выписка из Единого государственного реестра юридических лиц и физических лиц – предпринимателей;</w:t>
      </w: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- заверенная подписью руководителя и печатью юридического лица копия справки о взятии на учёт плательщика налогов (форма 4-ОПП);</w:t>
      </w:r>
    </w:p>
    <w:p w:rsidR="00E31A7A" w:rsidRPr="000E7E12" w:rsidRDefault="00AD7CCE">
      <w:pPr>
        <w:pStyle w:val="10"/>
        <w:spacing w:after="0" w:line="240" w:lineRule="auto"/>
        <w:jc w:val="both"/>
      </w:pPr>
      <w:proofErr w:type="gramStart"/>
      <w:r w:rsidRPr="000E7E12">
        <w:t>- извлечение (вытяг) из Единого государственного реестра юридических лиц и физических лиц – предпринимателей;- документ, подтверждающий полномочия лица на осуществление действий от имени участника закупки (заверенная руководителем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доверенности).</w:t>
      </w:r>
      <w:proofErr w:type="gramEnd"/>
    </w:p>
    <w:p w:rsidR="00254106" w:rsidRPr="000E7E12" w:rsidRDefault="00254106">
      <w:pPr>
        <w:pStyle w:val="10"/>
        <w:spacing w:after="0" w:line="240" w:lineRule="auto"/>
        <w:jc w:val="both"/>
      </w:pP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в) для физического лица - предпринимателя:</w:t>
      </w:r>
    </w:p>
    <w:p w:rsidR="00254106" w:rsidRPr="000E7E12" w:rsidRDefault="00AD7CCE">
      <w:pPr>
        <w:pStyle w:val="10"/>
        <w:spacing w:after="0" w:line="240" w:lineRule="auto"/>
        <w:jc w:val="both"/>
      </w:pPr>
      <w:proofErr w:type="gramStart"/>
      <w:r w:rsidRPr="000E7E12">
        <w:t xml:space="preserve">- документы, удостоверяющие фамилию, имя, отчество, паспортные данные, сведения о месте жительства (копия паспорта, заверенная подписью и печатью (в случае её наличия) физического лица – предпринимателя); номер контактного телефона, копия справки о присвоении </w:t>
      </w:r>
      <w:r w:rsidR="00254106" w:rsidRPr="000E7E12">
        <w:t>индивидуального</w:t>
      </w:r>
      <w:r w:rsidRPr="000E7E12">
        <w:t xml:space="preserve"> </w:t>
      </w:r>
      <w:proofErr w:type="gramEnd"/>
    </w:p>
    <w:p w:rsidR="00254106" w:rsidRPr="000E7E12" w:rsidRDefault="00254106">
      <w:pPr>
        <w:pStyle w:val="10"/>
        <w:spacing w:after="0" w:line="240" w:lineRule="auto"/>
        <w:jc w:val="both"/>
      </w:pP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налогового номера (</w:t>
      </w:r>
      <w:proofErr w:type="gramStart"/>
      <w:r w:rsidRPr="000E7E12">
        <w:t>заверенная</w:t>
      </w:r>
      <w:proofErr w:type="gramEnd"/>
      <w:r w:rsidRPr="000E7E12">
        <w:t xml:space="preserve"> подписью и печатью (в случае её наличия) физического лица </w:t>
      </w:r>
      <w:r w:rsidR="00254106" w:rsidRPr="000E7E12">
        <w:t>–</w:t>
      </w:r>
      <w:r w:rsidRPr="000E7E12">
        <w:t xml:space="preserve"> предпринимателя);</w:t>
      </w: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t>- выписку из Единого государственного реестра юридических лиц и физических лиц - предпринимателей;</w:t>
      </w:r>
    </w:p>
    <w:p w:rsidR="00E31A7A" w:rsidRPr="000E7E12" w:rsidRDefault="00E31A7A">
      <w:pPr>
        <w:pStyle w:val="10"/>
        <w:spacing w:after="0" w:line="240" w:lineRule="auto"/>
        <w:jc w:val="both"/>
      </w:pPr>
    </w:p>
    <w:p w:rsidR="00E31A7A" w:rsidRPr="000E7E12" w:rsidRDefault="00AD7CCE">
      <w:pPr>
        <w:pStyle w:val="10"/>
        <w:spacing w:after="0" w:line="240" w:lineRule="auto"/>
        <w:jc w:val="both"/>
      </w:pPr>
      <w:r w:rsidRPr="000E7E12">
        <w:rPr>
          <w:rFonts w:ascii="Calibri" w:eastAsia="Calibri" w:hAnsi="Calibri" w:cs="Calibri"/>
        </w:rPr>
        <w:t xml:space="preserve">д) </w:t>
      </w:r>
      <w:r w:rsidRPr="000E7E12">
        <w:t>прейскурант на основные виды сервиса.</w:t>
      </w:r>
    </w:p>
    <w:p w:rsidR="00E31A7A" w:rsidRPr="000E7E12" w:rsidRDefault="00E31A7A">
      <w:pPr>
        <w:pStyle w:val="10"/>
        <w:spacing w:after="0" w:line="240" w:lineRule="auto"/>
        <w:jc w:val="both"/>
      </w:pPr>
    </w:p>
    <w:p w:rsidR="00E31A7A" w:rsidRPr="000E7E12" w:rsidRDefault="00AD7CCE">
      <w:pPr>
        <w:pStyle w:val="10"/>
      </w:pPr>
      <w:r w:rsidRPr="000E7E12">
        <w:rPr>
          <w:b/>
        </w:rPr>
        <w:t>Подача тендерных предложений.</w:t>
      </w:r>
      <w:r w:rsidRPr="000E7E12">
        <w:t xml:space="preserve"> </w:t>
      </w:r>
    </w:p>
    <w:p w:rsidR="00E31A7A" w:rsidRPr="000E7E12" w:rsidRDefault="00AD7CCE">
      <w:pPr>
        <w:pStyle w:val="10"/>
        <w:spacing w:after="0" w:line="240" w:lineRule="auto"/>
        <w:ind w:firstLine="720"/>
        <w:jc w:val="both"/>
      </w:pPr>
      <w:r w:rsidRPr="000E7E12">
        <w:t xml:space="preserve">Предложения и документы должны быть отправлены на адрес электронной почты МБО «ВЦО ЛЖВ» </w:t>
      </w:r>
      <w:hyperlink r:id="rId9">
        <w:r w:rsidRPr="000E7E12">
          <w:rPr>
            <w:color w:val="0000FF"/>
            <w:u w:val="single"/>
          </w:rPr>
          <w:t>golubkova@ecuo.org</w:t>
        </w:r>
      </w:hyperlink>
      <w:r w:rsidRPr="000E7E12">
        <w:t xml:space="preserve"> с копией на </w:t>
      </w:r>
      <w:hyperlink r:id="rId10">
        <w:r w:rsidRPr="000E7E12">
          <w:rPr>
            <w:color w:val="0000FF"/>
            <w:u w:val="single"/>
          </w:rPr>
          <w:t>gonchar@ecuo.org</w:t>
        </w:r>
      </w:hyperlink>
      <w:r w:rsidRPr="000E7E12">
        <w:t xml:space="preserve"> </w:t>
      </w:r>
    </w:p>
    <w:p w:rsidR="00E31A7A" w:rsidRPr="000E7E12" w:rsidRDefault="00AD7CCE">
      <w:pPr>
        <w:pStyle w:val="10"/>
        <w:ind w:firstLine="680"/>
        <w:jc w:val="both"/>
      </w:pPr>
      <w:r w:rsidRPr="000E7E12">
        <w:t xml:space="preserve">Тема письма должна быть подписана следующим образом: </w:t>
      </w:r>
      <w:proofErr w:type="gramStart"/>
      <w:r w:rsidRPr="000E7E12">
        <w:t>(Тендер на предоставление  полиграфических услуг (подготовка к печати и печать информационно-методических материалов)</w:t>
      </w:r>
      <w:r w:rsidRPr="000E7E12">
        <w:rPr>
          <w:b/>
        </w:rPr>
        <w:t>.</w:t>
      </w:r>
      <w:proofErr w:type="gramEnd"/>
    </w:p>
    <w:p w:rsidR="00E31A7A" w:rsidRPr="000E7E12" w:rsidRDefault="00AD7CCE">
      <w:pPr>
        <w:pStyle w:val="10"/>
        <w:ind w:firstLine="680"/>
        <w:jc w:val="both"/>
      </w:pPr>
      <w:r w:rsidRPr="000E7E12">
        <w:t>Конечный срок приёма тендерных предложений от участников:</w:t>
      </w:r>
    </w:p>
    <w:p w:rsidR="00E31A7A" w:rsidRPr="000E7E12" w:rsidRDefault="005C047F">
      <w:pPr>
        <w:pStyle w:val="10"/>
        <w:ind w:firstLine="680"/>
        <w:jc w:val="both"/>
      </w:pPr>
      <w:r>
        <w:t>1</w:t>
      </w:r>
      <w:r w:rsidRPr="005C047F">
        <w:t>4</w:t>
      </w:r>
      <w:r w:rsidR="00996682">
        <w:t xml:space="preserve"> января </w:t>
      </w:r>
      <w:r w:rsidR="00AD7CCE" w:rsidRPr="000E7E12">
        <w:t>2016 г. 18 ч. 00 мин. по киевскому времени.</w:t>
      </w:r>
    </w:p>
    <w:p w:rsidR="00E31A7A" w:rsidRPr="000E7E12" w:rsidRDefault="00AD7CCE">
      <w:pPr>
        <w:pStyle w:val="10"/>
        <w:ind w:firstLine="680"/>
        <w:jc w:val="both"/>
      </w:pPr>
      <w:r w:rsidRPr="000E7E12">
        <w:t>Дополнительную информацию можно получить по телефонам: (044) 467-75-65, 467-75-82 контактное лицо:</w:t>
      </w:r>
      <w:r w:rsidRPr="000E7E12">
        <w:rPr>
          <w:b/>
        </w:rPr>
        <w:t xml:space="preserve"> </w:t>
      </w:r>
      <w:r w:rsidRPr="000E7E12">
        <w:t>Ирина Голубков</w:t>
      </w:r>
      <w:bookmarkStart w:id="0" w:name="_GoBack"/>
      <w:bookmarkEnd w:id="0"/>
      <w:r w:rsidRPr="000E7E12">
        <w:t>а или Евгений Гончар.</w:t>
      </w:r>
    </w:p>
    <w:p w:rsidR="0001544C" w:rsidRDefault="0001544C">
      <w:pPr>
        <w:pStyle w:val="10"/>
        <w:widowControl w:val="0"/>
        <w:spacing w:line="240" w:lineRule="auto"/>
        <w:ind w:firstLine="680"/>
        <w:rPr>
          <w:b/>
        </w:rPr>
      </w:pPr>
    </w:p>
    <w:p w:rsidR="00E31A7A" w:rsidRPr="000E7E12" w:rsidRDefault="00AD7CCE">
      <w:pPr>
        <w:pStyle w:val="10"/>
        <w:widowControl w:val="0"/>
        <w:spacing w:line="240" w:lineRule="auto"/>
        <w:ind w:firstLine="680"/>
      </w:pPr>
      <w:r w:rsidRPr="000E7E12">
        <w:rPr>
          <w:b/>
        </w:rPr>
        <w:lastRenderedPageBreak/>
        <w:t>Определение победителя тендера, вознаграждение</w:t>
      </w:r>
    </w:p>
    <w:p w:rsidR="00E31A7A" w:rsidRPr="000E7E12" w:rsidRDefault="00AD7CCE">
      <w:pPr>
        <w:pStyle w:val="10"/>
        <w:widowControl w:val="0"/>
        <w:numPr>
          <w:ilvl w:val="0"/>
          <w:numId w:val="1"/>
        </w:numPr>
        <w:ind w:firstLine="680"/>
        <w:jc w:val="both"/>
      </w:pPr>
      <w:r w:rsidRPr="000E7E12">
        <w:t xml:space="preserve">В результате оценки тендерных заявок тендерным консультативным советом будет определён победитель тендера. Оценивание тендерных заявок будет проводиться тендерным консультативным советом на собственное усмотрение, исходя из собственного видения цели, целей и задач тендера. </w:t>
      </w:r>
    </w:p>
    <w:p w:rsidR="00E31A7A" w:rsidRPr="000E7E12" w:rsidRDefault="00E31A7A">
      <w:pPr>
        <w:pStyle w:val="10"/>
        <w:spacing w:after="0" w:line="240" w:lineRule="auto"/>
        <w:jc w:val="center"/>
      </w:pPr>
    </w:p>
    <w:p w:rsidR="00E31A7A" w:rsidRPr="000E7E12" w:rsidRDefault="00AD7CCE">
      <w:pPr>
        <w:pStyle w:val="10"/>
        <w:jc w:val="center"/>
      </w:pPr>
      <w:r w:rsidRPr="000E7E12">
        <w:rPr>
          <w:i/>
        </w:rPr>
        <w:t>К участию в тендере допускаются лишь тендерные заявки, которые полностью отвечают условиям тендера.</w:t>
      </w:r>
    </w:p>
    <w:p w:rsidR="00E31A7A" w:rsidRPr="000E7E12" w:rsidRDefault="00AD7CCE">
      <w:pPr>
        <w:pStyle w:val="10"/>
        <w:ind w:firstLine="680"/>
        <w:jc w:val="center"/>
      </w:pPr>
      <w:r w:rsidRPr="000E7E12">
        <w:rPr>
          <w:i/>
        </w:rPr>
        <w:t>Представленные на тендер материалы не возвращаются и не рецензируются.</w:t>
      </w:r>
    </w:p>
    <w:p w:rsidR="00E31A7A" w:rsidRPr="000E7E12" w:rsidRDefault="00AD7CCE" w:rsidP="00254106">
      <w:pPr>
        <w:pStyle w:val="10"/>
        <w:ind w:firstLine="680"/>
        <w:jc w:val="center"/>
      </w:pPr>
      <w:r w:rsidRPr="000E7E12">
        <w:rPr>
          <w:i/>
        </w:rPr>
        <w:t>Причины отказа в поддержке тендерного предложения не сообщаются и не обосновываются.</w:t>
      </w:r>
    </w:p>
    <w:p w:rsidR="00E31A7A" w:rsidRPr="000E7E12" w:rsidRDefault="00AD7CCE">
      <w:pPr>
        <w:pStyle w:val="10"/>
        <w:jc w:val="center"/>
      </w:pPr>
      <w:r w:rsidRPr="000E7E12">
        <w:rPr>
          <w:i/>
        </w:rPr>
        <w:t>Решение Организатора тендера является окончательным и обжалованию не подлежит</w:t>
      </w:r>
    </w:p>
    <w:sectPr w:rsidR="00E31A7A" w:rsidRPr="000E7E12" w:rsidSect="00FA39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31" w:right="720" w:bottom="261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F5" w:rsidRDefault="001365F5" w:rsidP="00E31A7A">
      <w:pPr>
        <w:spacing w:after="0" w:line="240" w:lineRule="auto"/>
      </w:pPr>
      <w:r>
        <w:separator/>
      </w:r>
    </w:p>
  </w:endnote>
  <w:endnote w:type="continuationSeparator" w:id="0">
    <w:p w:rsidR="001365F5" w:rsidRDefault="001365F5" w:rsidP="00E3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2D" w:rsidRDefault="005510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7A" w:rsidRDefault="00AD7CCE">
    <w:pPr>
      <w:pStyle w:val="10"/>
      <w:tabs>
        <w:tab w:val="center" w:pos="4153"/>
        <w:tab w:val="right" w:pos="8306"/>
      </w:tabs>
      <w:spacing w:after="629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0" allowOverlap="0" wp14:anchorId="128978D8" wp14:editId="3EEDA201">
          <wp:simplePos x="0" y="0"/>
          <wp:positionH relativeFrom="margin">
            <wp:posOffset>-114299</wp:posOffset>
          </wp:positionH>
          <wp:positionV relativeFrom="paragraph">
            <wp:posOffset>-955674</wp:posOffset>
          </wp:positionV>
          <wp:extent cx="6858000" cy="1257935"/>
          <wp:effectExtent l="0" t="0" r="0" b="0"/>
          <wp:wrapNone/>
          <wp:docPr id="6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1257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2D" w:rsidRDefault="005510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F5" w:rsidRDefault="001365F5" w:rsidP="00E31A7A">
      <w:pPr>
        <w:spacing w:after="0" w:line="240" w:lineRule="auto"/>
      </w:pPr>
      <w:r>
        <w:separator/>
      </w:r>
    </w:p>
  </w:footnote>
  <w:footnote w:type="continuationSeparator" w:id="0">
    <w:p w:rsidR="001365F5" w:rsidRDefault="001365F5" w:rsidP="00E3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2D" w:rsidRDefault="005510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7A" w:rsidRDefault="00AD7CCE">
    <w:pPr>
      <w:pStyle w:val="10"/>
      <w:tabs>
        <w:tab w:val="center" w:pos="4153"/>
        <w:tab w:val="right" w:pos="8306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0" wp14:anchorId="1E2F4F61" wp14:editId="1804FDCE">
          <wp:simplePos x="0" y="0"/>
          <wp:positionH relativeFrom="margin">
            <wp:posOffset>-114299</wp:posOffset>
          </wp:positionH>
          <wp:positionV relativeFrom="paragraph">
            <wp:posOffset>-225424</wp:posOffset>
          </wp:positionV>
          <wp:extent cx="6858000" cy="568325"/>
          <wp:effectExtent l="0" t="0" r="0" b="0"/>
          <wp:wrapNone/>
          <wp:docPr id="5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2D" w:rsidRDefault="00551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041D"/>
    <w:multiLevelType w:val="multilevel"/>
    <w:tmpl w:val="D4BA6F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09615E7"/>
    <w:multiLevelType w:val="multilevel"/>
    <w:tmpl w:val="B468AA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A"/>
    <w:rsid w:val="00014951"/>
    <w:rsid w:val="0001544C"/>
    <w:rsid w:val="00041DF2"/>
    <w:rsid w:val="000860B4"/>
    <w:rsid w:val="000E7E12"/>
    <w:rsid w:val="00116A48"/>
    <w:rsid w:val="00125BFE"/>
    <w:rsid w:val="00135652"/>
    <w:rsid w:val="001365F5"/>
    <w:rsid w:val="001C5B37"/>
    <w:rsid w:val="0023279C"/>
    <w:rsid w:val="00254106"/>
    <w:rsid w:val="00267A20"/>
    <w:rsid w:val="002C7798"/>
    <w:rsid w:val="00396A93"/>
    <w:rsid w:val="003C0BF1"/>
    <w:rsid w:val="004609EE"/>
    <w:rsid w:val="00477390"/>
    <w:rsid w:val="004909A0"/>
    <w:rsid w:val="004A365A"/>
    <w:rsid w:val="004A4A04"/>
    <w:rsid w:val="004C20D0"/>
    <w:rsid w:val="004D4F5B"/>
    <w:rsid w:val="00512963"/>
    <w:rsid w:val="00542FDB"/>
    <w:rsid w:val="00543263"/>
    <w:rsid w:val="0055102D"/>
    <w:rsid w:val="00564252"/>
    <w:rsid w:val="00564FA5"/>
    <w:rsid w:val="005C047F"/>
    <w:rsid w:val="0060553A"/>
    <w:rsid w:val="0062767A"/>
    <w:rsid w:val="00683B0B"/>
    <w:rsid w:val="006A077F"/>
    <w:rsid w:val="006A19C2"/>
    <w:rsid w:val="006B2D39"/>
    <w:rsid w:val="00716876"/>
    <w:rsid w:val="00723C90"/>
    <w:rsid w:val="007D4E39"/>
    <w:rsid w:val="007E6E9B"/>
    <w:rsid w:val="008514BA"/>
    <w:rsid w:val="0088488B"/>
    <w:rsid w:val="008849D0"/>
    <w:rsid w:val="00914032"/>
    <w:rsid w:val="0096406B"/>
    <w:rsid w:val="00996682"/>
    <w:rsid w:val="009A67C1"/>
    <w:rsid w:val="009F5187"/>
    <w:rsid w:val="00AD7CCE"/>
    <w:rsid w:val="00B51785"/>
    <w:rsid w:val="00BB4874"/>
    <w:rsid w:val="00C14C2E"/>
    <w:rsid w:val="00CE4CA0"/>
    <w:rsid w:val="00CF4108"/>
    <w:rsid w:val="00D05CC8"/>
    <w:rsid w:val="00D46A43"/>
    <w:rsid w:val="00D6021D"/>
    <w:rsid w:val="00D817DB"/>
    <w:rsid w:val="00DB2627"/>
    <w:rsid w:val="00DB3262"/>
    <w:rsid w:val="00E10C65"/>
    <w:rsid w:val="00E31A7A"/>
    <w:rsid w:val="00E93570"/>
    <w:rsid w:val="00F00477"/>
    <w:rsid w:val="00F64989"/>
    <w:rsid w:val="00F94841"/>
    <w:rsid w:val="00F975D5"/>
    <w:rsid w:val="00FA3944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31A7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10"/>
    <w:next w:val="10"/>
    <w:rsid w:val="00E31A7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31A7A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10"/>
    <w:next w:val="10"/>
    <w:rsid w:val="00E31A7A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10"/>
    <w:next w:val="10"/>
    <w:rsid w:val="00E31A7A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10"/>
    <w:next w:val="10"/>
    <w:rsid w:val="00E31A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31A7A"/>
  </w:style>
  <w:style w:type="table" w:customStyle="1" w:styleId="TableNormal">
    <w:name w:val="Table Normal"/>
    <w:rsid w:val="00E31A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31A7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31A7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1A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rmal (Web)"/>
    <w:basedOn w:val="a"/>
    <w:rsid w:val="000E7E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39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944"/>
  </w:style>
  <w:style w:type="paragraph" w:styleId="a9">
    <w:name w:val="footer"/>
    <w:basedOn w:val="a"/>
    <w:link w:val="aa"/>
    <w:uiPriority w:val="99"/>
    <w:unhideWhenUsed/>
    <w:rsid w:val="00FA39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31A7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10"/>
    <w:next w:val="10"/>
    <w:rsid w:val="00E31A7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31A7A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10"/>
    <w:next w:val="10"/>
    <w:rsid w:val="00E31A7A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10"/>
    <w:next w:val="10"/>
    <w:rsid w:val="00E31A7A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10"/>
    <w:next w:val="10"/>
    <w:rsid w:val="00E31A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31A7A"/>
  </w:style>
  <w:style w:type="table" w:customStyle="1" w:styleId="TableNormal">
    <w:name w:val="Table Normal"/>
    <w:rsid w:val="00E31A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31A7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31A7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1A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Normal (Web)"/>
    <w:basedOn w:val="a"/>
    <w:rsid w:val="000E7E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39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944"/>
  </w:style>
  <w:style w:type="paragraph" w:styleId="a9">
    <w:name w:val="footer"/>
    <w:basedOn w:val="a"/>
    <w:link w:val="aa"/>
    <w:uiPriority w:val="99"/>
    <w:unhideWhenUsed/>
    <w:rsid w:val="00FA39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onchar@ecu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lubkova@ecuo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2FF6-6E85-448C-9667-115A2C8F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ECUO</dc:creator>
  <cp:lastModifiedBy>ECUO</cp:lastModifiedBy>
  <cp:revision>6</cp:revision>
  <dcterms:created xsi:type="dcterms:W3CDTF">2016-01-05T14:30:00Z</dcterms:created>
  <dcterms:modified xsi:type="dcterms:W3CDTF">2016-01-06T12:29:00Z</dcterms:modified>
</cp:coreProperties>
</file>