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57" w:rsidRPr="00B450FC" w:rsidRDefault="00EE1E57" w:rsidP="00EE1E57">
      <w:pPr>
        <w:rPr>
          <w:rFonts w:asciiTheme="minorHAnsi" w:hAnsiTheme="minorHAnsi"/>
          <w:sz w:val="18"/>
          <w:szCs w:val="18"/>
          <w:lang w:val="en-US"/>
        </w:rPr>
      </w:pPr>
    </w:p>
    <w:tbl>
      <w:tblPr>
        <w:tblW w:w="0" w:type="auto"/>
        <w:tblLook w:val="01E0" w:firstRow="1" w:lastRow="1" w:firstColumn="1" w:lastColumn="1" w:noHBand="0" w:noVBand="0"/>
      </w:tblPr>
      <w:tblGrid>
        <w:gridCol w:w="3888"/>
        <w:gridCol w:w="5967"/>
      </w:tblGrid>
      <w:tr w:rsidR="00EE1E57" w:rsidRPr="00B450FC" w:rsidTr="00642603">
        <w:tc>
          <w:tcPr>
            <w:tcW w:w="3888" w:type="dxa"/>
          </w:tcPr>
          <w:p w:rsidR="00EE1E57" w:rsidRPr="00B450FC" w:rsidRDefault="009F6990" w:rsidP="00642603">
            <w:pPr>
              <w:jc w:val="both"/>
              <w:rPr>
                <w:rFonts w:asciiTheme="minorHAnsi" w:hAnsiTheme="minorHAnsi"/>
                <w:i/>
                <w:sz w:val="18"/>
                <w:szCs w:val="18"/>
                <w:lang w:val="en-US"/>
              </w:rPr>
            </w:pPr>
            <w:r>
              <w:rPr>
                <w:rFonts w:asciiTheme="minorHAnsi" w:hAnsiTheme="minorHAnsi"/>
                <w:i/>
                <w:sz w:val="18"/>
                <w:szCs w:val="18"/>
                <w:lang w:val="en-US"/>
              </w:rPr>
              <w:t>March</w:t>
            </w:r>
            <w:r w:rsidR="0033736D" w:rsidRPr="00B450FC">
              <w:rPr>
                <w:rFonts w:asciiTheme="minorHAnsi" w:hAnsiTheme="minorHAnsi"/>
                <w:i/>
                <w:sz w:val="18"/>
                <w:szCs w:val="18"/>
                <w:lang w:val="en-US"/>
              </w:rPr>
              <w:t xml:space="preserve">, </w:t>
            </w:r>
            <w:r w:rsidR="002739AA">
              <w:rPr>
                <w:rFonts w:asciiTheme="minorHAnsi" w:hAnsiTheme="minorHAnsi"/>
                <w:i/>
                <w:sz w:val="18"/>
                <w:szCs w:val="18"/>
                <w:lang w:val="en-US"/>
              </w:rPr>
              <w:t>1</w:t>
            </w:r>
            <w:r w:rsidR="002739AA">
              <w:rPr>
                <w:rFonts w:asciiTheme="minorHAnsi" w:hAnsiTheme="minorHAnsi"/>
                <w:i/>
                <w:sz w:val="18"/>
                <w:szCs w:val="18"/>
                <w:lang w:val="ru-RU"/>
              </w:rPr>
              <w:t>3</w:t>
            </w:r>
            <w:r w:rsidR="0033736D" w:rsidRPr="00B450FC">
              <w:rPr>
                <w:rFonts w:asciiTheme="minorHAnsi" w:hAnsiTheme="minorHAnsi"/>
                <w:i/>
                <w:sz w:val="18"/>
                <w:szCs w:val="18"/>
                <w:lang w:val="en-US"/>
              </w:rPr>
              <w:t>, 2014</w:t>
            </w:r>
          </w:p>
          <w:p w:rsidR="00EE1E57" w:rsidRPr="00B450FC" w:rsidRDefault="00EE1E57" w:rsidP="00642603">
            <w:pPr>
              <w:jc w:val="both"/>
              <w:rPr>
                <w:rFonts w:asciiTheme="minorHAnsi" w:hAnsiTheme="minorHAnsi"/>
                <w:sz w:val="18"/>
                <w:szCs w:val="18"/>
                <w:lang w:val="en-US"/>
              </w:rPr>
            </w:pPr>
          </w:p>
        </w:tc>
        <w:tc>
          <w:tcPr>
            <w:tcW w:w="5967" w:type="dxa"/>
          </w:tcPr>
          <w:p w:rsidR="002739AA" w:rsidRDefault="002739AA" w:rsidP="002739AA">
            <w:pPr>
              <w:jc w:val="right"/>
              <w:rPr>
                <w:rFonts w:asciiTheme="minorHAnsi" w:hAnsiTheme="minorHAnsi"/>
                <w:sz w:val="18"/>
                <w:szCs w:val="18"/>
                <w:lang w:val="en-US"/>
              </w:rPr>
            </w:pPr>
            <w:r>
              <w:rPr>
                <w:rFonts w:asciiTheme="minorHAnsi" w:hAnsiTheme="minorHAnsi"/>
                <w:sz w:val="18"/>
                <w:szCs w:val="18"/>
                <w:lang w:val="en-US"/>
              </w:rPr>
              <w:t>Kenneth C. Frazier</w:t>
            </w:r>
          </w:p>
          <w:p w:rsidR="002739AA" w:rsidRDefault="002739AA" w:rsidP="002739AA">
            <w:pPr>
              <w:jc w:val="right"/>
              <w:rPr>
                <w:rFonts w:asciiTheme="minorHAnsi" w:hAnsiTheme="minorHAnsi"/>
                <w:sz w:val="18"/>
                <w:szCs w:val="18"/>
                <w:lang w:val="en-US"/>
              </w:rPr>
            </w:pPr>
            <w:r>
              <w:rPr>
                <w:rFonts w:asciiTheme="minorHAnsi" w:hAnsiTheme="minorHAnsi"/>
                <w:sz w:val="18"/>
                <w:szCs w:val="18"/>
                <w:lang w:val="en-US"/>
              </w:rPr>
              <w:t>Chairman of the Board,</w:t>
            </w:r>
          </w:p>
          <w:p w:rsidR="002739AA" w:rsidRDefault="002739AA" w:rsidP="002739AA">
            <w:pPr>
              <w:jc w:val="right"/>
              <w:rPr>
                <w:rFonts w:asciiTheme="minorHAnsi" w:hAnsiTheme="minorHAnsi"/>
                <w:sz w:val="18"/>
                <w:szCs w:val="18"/>
                <w:lang w:val="en-US"/>
              </w:rPr>
            </w:pPr>
            <w:r>
              <w:rPr>
                <w:rFonts w:asciiTheme="minorHAnsi" w:hAnsiTheme="minorHAnsi"/>
                <w:sz w:val="18"/>
                <w:szCs w:val="18"/>
                <w:lang w:val="en-US"/>
              </w:rPr>
              <w:t>President and Chief Executive Officer</w:t>
            </w:r>
          </w:p>
          <w:p w:rsidR="002739AA" w:rsidRDefault="002739AA" w:rsidP="002739AA">
            <w:pPr>
              <w:jc w:val="right"/>
              <w:rPr>
                <w:rFonts w:asciiTheme="minorHAnsi" w:hAnsiTheme="minorHAnsi"/>
                <w:sz w:val="18"/>
                <w:szCs w:val="18"/>
                <w:lang w:val="en-US"/>
              </w:rPr>
            </w:pPr>
            <w:r>
              <w:rPr>
                <w:rFonts w:asciiTheme="minorHAnsi" w:hAnsiTheme="minorHAnsi"/>
                <w:sz w:val="18"/>
                <w:szCs w:val="18"/>
                <w:lang w:val="en-US"/>
              </w:rPr>
              <w:t>Merck &amp; Co., Inc.</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 xml:space="preserve">Paul E </w:t>
            </w:r>
            <w:proofErr w:type="spellStart"/>
            <w:r w:rsidRPr="002739AA">
              <w:rPr>
                <w:rFonts w:asciiTheme="minorHAnsi" w:hAnsiTheme="minorHAnsi"/>
                <w:sz w:val="18"/>
                <w:szCs w:val="18"/>
                <w:lang w:val="en-US"/>
              </w:rPr>
              <w:t>Schaper</w:t>
            </w:r>
            <w:proofErr w:type="spellEnd"/>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Executive Director, Global Public Policy</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Merck | MSD</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601 Pennsylvania Ave NW</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North Building, Suite 1200</w:t>
            </w:r>
          </w:p>
          <w:p w:rsidR="00EE1E57"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Washington DC 20004</w:t>
            </w:r>
          </w:p>
          <w:p w:rsidR="00264869" w:rsidRPr="00264869" w:rsidRDefault="00264869" w:rsidP="002739AA">
            <w:pPr>
              <w:jc w:val="right"/>
              <w:rPr>
                <w:rFonts w:asciiTheme="minorHAnsi" w:hAnsiTheme="minorHAnsi"/>
                <w:sz w:val="18"/>
                <w:szCs w:val="18"/>
                <w:lang w:val="en-US"/>
              </w:rPr>
            </w:pPr>
            <w:proofErr w:type="spellStart"/>
            <w:r w:rsidRPr="00264869">
              <w:rPr>
                <w:rFonts w:asciiTheme="minorHAnsi" w:hAnsiTheme="minorHAnsi"/>
                <w:sz w:val="18"/>
                <w:szCs w:val="18"/>
                <w:lang w:val="en-US"/>
              </w:rPr>
              <w:t>Tetyana</w:t>
            </w:r>
            <w:proofErr w:type="spellEnd"/>
            <w:r w:rsidRPr="00264869">
              <w:rPr>
                <w:rFonts w:asciiTheme="minorHAnsi" w:hAnsiTheme="minorHAnsi"/>
                <w:sz w:val="18"/>
                <w:szCs w:val="18"/>
                <w:lang w:val="en-US"/>
              </w:rPr>
              <w:t xml:space="preserve"> </w:t>
            </w:r>
            <w:proofErr w:type="spellStart"/>
            <w:r w:rsidRPr="00264869">
              <w:rPr>
                <w:rFonts w:asciiTheme="minorHAnsi" w:hAnsiTheme="minorHAnsi"/>
                <w:sz w:val="18"/>
                <w:szCs w:val="18"/>
                <w:lang w:val="en-US"/>
              </w:rPr>
              <w:t>Bilyk</w:t>
            </w:r>
            <w:proofErr w:type="spellEnd"/>
            <w:r w:rsidRPr="00264869">
              <w:rPr>
                <w:rFonts w:asciiTheme="minorHAnsi" w:hAnsiTheme="minorHAnsi"/>
                <w:sz w:val="18"/>
                <w:szCs w:val="18"/>
                <w:lang w:val="en-US"/>
              </w:rPr>
              <w:t xml:space="preserve"> </w:t>
            </w:r>
          </w:p>
          <w:p w:rsidR="00264869" w:rsidRDefault="00264869" w:rsidP="002739AA">
            <w:pPr>
              <w:jc w:val="right"/>
              <w:rPr>
                <w:rFonts w:asciiTheme="minorHAnsi" w:hAnsiTheme="minorHAnsi"/>
                <w:sz w:val="18"/>
                <w:szCs w:val="18"/>
                <w:lang w:val="en-US"/>
              </w:rPr>
            </w:pPr>
            <w:r>
              <w:rPr>
                <w:rFonts w:asciiTheme="minorHAnsi" w:hAnsiTheme="minorHAnsi"/>
                <w:sz w:val="18"/>
                <w:szCs w:val="18"/>
                <w:lang w:val="en-US"/>
              </w:rPr>
              <w:t>External Affairs Lead Ukraine and CIS</w:t>
            </w:r>
          </w:p>
          <w:p w:rsidR="00264869" w:rsidRDefault="00264869" w:rsidP="00264869">
            <w:pPr>
              <w:jc w:val="right"/>
              <w:rPr>
                <w:rFonts w:asciiTheme="minorHAnsi" w:hAnsiTheme="minorHAnsi"/>
                <w:sz w:val="18"/>
                <w:szCs w:val="18"/>
                <w:lang w:val="en-US"/>
              </w:rPr>
            </w:pPr>
            <w:proofErr w:type="spellStart"/>
            <w:r>
              <w:rPr>
                <w:rFonts w:asciiTheme="minorHAnsi" w:hAnsiTheme="minorHAnsi"/>
                <w:sz w:val="18"/>
                <w:szCs w:val="18"/>
                <w:lang w:val="en-US"/>
              </w:rPr>
              <w:t>Ildar</w:t>
            </w:r>
            <w:proofErr w:type="spellEnd"/>
            <w:r>
              <w:rPr>
                <w:rFonts w:asciiTheme="minorHAnsi" w:hAnsiTheme="minorHAnsi"/>
                <w:sz w:val="18"/>
                <w:szCs w:val="18"/>
                <w:lang w:val="en-US"/>
              </w:rPr>
              <w:t xml:space="preserve"> </w:t>
            </w:r>
            <w:proofErr w:type="spellStart"/>
            <w:r>
              <w:rPr>
                <w:rFonts w:asciiTheme="minorHAnsi" w:hAnsiTheme="minorHAnsi"/>
                <w:sz w:val="18"/>
                <w:szCs w:val="18"/>
                <w:lang w:val="en-US"/>
              </w:rPr>
              <w:t>Seytyagyayev</w:t>
            </w:r>
            <w:proofErr w:type="spellEnd"/>
          </w:p>
          <w:p w:rsidR="00264869" w:rsidRPr="00264869" w:rsidRDefault="00264869" w:rsidP="00264869">
            <w:pPr>
              <w:jc w:val="right"/>
              <w:rPr>
                <w:rFonts w:asciiTheme="minorHAnsi" w:hAnsiTheme="minorHAnsi"/>
                <w:sz w:val="18"/>
                <w:szCs w:val="18"/>
                <w:lang w:val="en-US"/>
              </w:rPr>
            </w:pPr>
            <w:r>
              <w:rPr>
                <w:rFonts w:asciiTheme="minorHAnsi" w:hAnsiTheme="minorHAnsi"/>
                <w:sz w:val="18"/>
                <w:szCs w:val="18"/>
                <w:lang w:val="en-US"/>
              </w:rPr>
              <w:t>General Director</w:t>
            </w:r>
            <w:bookmarkStart w:id="0" w:name="_GoBack"/>
            <w:bookmarkEnd w:id="0"/>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MSD Ukraine, LLC</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 xml:space="preserve">3rd </w:t>
            </w:r>
            <w:proofErr w:type="spellStart"/>
            <w:r w:rsidRPr="002739AA">
              <w:rPr>
                <w:rFonts w:asciiTheme="minorHAnsi" w:hAnsiTheme="minorHAnsi"/>
                <w:sz w:val="18"/>
                <w:szCs w:val="18"/>
                <w:lang w:val="en-US"/>
              </w:rPr>
              <w:t>Floor,Horizon</w:t>
            </w:r>
            <w:proofErr w:type="spellEnd"/>
            <w:r w:rsidRPr="002739AA">
              <w:rPr>
                <w:rFonts w:asciiTheme="minorHAnsi" w:hAnsiTheme="minorHAnsi"/>
                <w:sz w:val="18"/>
                <w:szCs w:val="18"/>
                <w:lang w:val="en-US"/>
              </w:rPr>
              <w:t xml:space="preserve"> Business Park</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 xml:space="preserve">12 </w:t>
            </w:r>
            <w:proofErr w:type="spellStart"/>
            <w:r w:rsidRPr="002739AA">
              <w:rPr>
                <w:rFonts w:asciiTheme="minorHAnsi" w:hAnsiTheme="minorHAnsi"/>
                <w:sz w:val="18"/>
                <w:szCs w:val="18"/>
                <w:lang w:val="en-US"/>
              </w:rPr>
              <w:t>Amosova</w:t>
            </w:r>
            <w:proofErr w:type="spellEnd"/>
            <w:r w:rsidRPr="002739AA">
              <w:rPr>
                <w:rFonts w:asciiTheme="minorHAnsi" w:hAnsiTheme="minorHAnsi"/>
                <w:sz w:val="18"/>
                <w:szCs w:val="18"/>
                <w:lang w:val="en-US"/>
              </w:rPr>
              <w:t xml:space="preserve"> Street, Kiev,03680</w:t>
            </w:r>
          </w:p>
          <w:p w:rsidR="002739AA" w:rsidRPr="002739AA" w:rsidRDefault="002739AA" w:rsidP="002739AA">
            <w:pPr>
              <w:jc w:val="right"/>
              <w:rPr>
                <w:rFonts w:asciiTheme="minorHAnsi" w:hAnsiTheme="minorHAnsi"/>
                <w:sz w:val="18"/>
                <w:szCs w:val="18"/>
                <w:lang w:val="en-US"/>
              </w:rPr>
            </w:pPr>
            <w:r w:rsidRPr="002739AA">
              <w:rPr>
                <w:rFonts w:asciiTheme="minorHAnsi" w:hAnsiTheme="minorHAnsi"/>
                <w:sz w:val="18"/>
                <w:szCs w:val="18"/>
                <w:lang w:val="en-US"/>
              </w:rPr>
              <w:t>Ukraine</w:t>
            </w:r>
          </w:p>
          <w:p w:rsidR="002739AA" w:rsidRDefault="002739AA" w:rsidP="002739AA">
            <w:pPr>
              <w:jc w:val="center"/>
              <w:rPr>
                <w:rFonts w:asciiTheme="minorHAnsi" w:hAnsiTheme="minorHAnsi"/>
                <w:sz w:val="18"/>
                <w:szCs w:val="18"/>
                <w:lang w:val="en-US"/>
              </w:rPr>
            </w:pPr>
          </w:p>
          <w:p w:rsidR="009F6990" w:rsidRDefault="009F6990" w:rsidP="009F6990">
            <w:pPr>
              <w:jc w:val="right"/>
              <w:rPr>
                <w:rFonts w:asciiTheme="minorHAnsi" w:hAnsiTheme="minorHAnsi"/>
                <w:sz w:val="18"/>
                <w:szCs w:val="18"/>
                <w:lang w:val="en-US"/>
              </w:rPr>
            </w:pPr>
          </w:p>
          <w:p w:rsidR="009F6990" w:rsidRPr="00B450FC" w:rsidRDefault="009F6990" w:rsidP="009F6990">
            <w:pPr>
              <w:jc w:val="right"/>
              <w:rPr>
                <w:rFonts w:asciiTheme="minorHAnsi" w:hAnsiTheme="minorHAnsi"/>
                <w:sz w:val="18"/>
                <w:szCs w:val="18"/>
                <w:lang w:val="en-US"/>
              </w:rPr>
            </w:pPr>
          </w:p>
        </w:tc>
      </w:tr>
    </w:tbl>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Dear Sir/Madame,</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We are writing this letter on behalf of the Community Advisory Board in Eastern Europe and Central Asia (EECA CAB), established in 2009 by International Treatment Preparedness Coalition in Eastern Europe and Central Asia (ITPCru) and East Europe and Central Asia Union of people living with HIV (ECUO.</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EECA CAB unites treatment access activists from the following countries: Azerbaijan, Armenia, Belarus, Georgia, Kazakhstan, Kyrgyzstan, Latvia, Lithuania, Moldova, Russia, Tajikistan, Ukraine, Uzbekistan, and Estonia. </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The experience of expanding access to life-saving HIV treatment shows that access to generic competition is critical for obtaining sustainable prices affordable for governments and international donors that run treatment </w:t>
      </w:r>
      <w:r w:rsidR="00BB09D2" w:rsidRPr="009F6990">
        <w:rPr>
          <w:rFonts w:asciiTheme="minorHAnsi" w:hAnsiTheme="minorHAnsi"/>
          <w:sz w:val="18"/>
          <w:szCs w:val="18"/>
          <w:lang w:val="en-US"/>
        </w:rPr>
        <w:t>programs</w:t>
      </w:r>
      <w:r w:rsidRPr="009F6990">
        <w:rPr>
          <w:rFonts w:asciiTheme="minorHAnsi" w:hAnsiTheme="minorHAnsi"/>
          <w:sz w:val="18"/>
          <w:szCs w:val="18"/>
          <w:lang w:val="en-US"/>
        </w:rPr>
        <w:t xml:space="preserve"> in EECA region.</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February 24, 2015, Medicines Patent Pool announced a license agreement with Merck Sharp &amp; </w:t>
      </w:r>
      <w:proofErr w:type="spellStart"/>
      <w:r w:rsidRPr="009F6990">
        <w:rPr>
          <w:rFonts w:asciiTheme="minorHAnsi" w:hAnsiTheme="minorHAnsi"/>
          <w:sz w:val="18"/>
          <w:szCs w:val="18"/>
          <w:lang w:val="en-US"/>
        </w:rPr>
        <w:t>Dohme</w:t>
      </w:r>
      <w:proofErr w:type="spellEnd"/>
      <w:r w:rsidRPr="009F6990">
        <w:rPr>
          <w:rFonts w:asciiTheme="minorHAnsi" w:hAnsiTheme="minorHAnsi"/>
          <w:sz w:val="18"/>
          <w:szCs w:val="18"/>
          <w:lang w:val="en-US"/>
        </w:rPr>
        <w:t xml:space="preserve"> Corp. and MSD Italia </w:t>
      </w:r>
      <w:proofErr w:type="spellStart"/>
      <w:r w:rsidRPr="009F6990">
        <w:rPr>
          <w:rFonts w:asciiTheme="minorHAnsi" w:hAnsiTheme="minorHAnsi"/>
          <w:sz w:val="18"/>
          <w:szCs w:val="18"/>
          <w:lang w:val="en-US"/>
        </w:rPr>
        <w:t>s.r.l</w:t>
      </w:r>
      <w:proofErr w:type="spellEnd"/>
      <w:r w:rsidRPr="009F6990">
        <w:rPr>
          <w:rFonts w:asciiTheme="minorHAnsi" w:hAnsiTheme="minorHAnsi"/>
          <w:sz w:val="18"/>
          <w:szCs w:val="18"/>
          <w:lang w:val="en-US"/>
        </w:rPr>
        <w:t xml:space="preserve">. (collectively "Merck") for pediatric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From the EECA region, the following countries were included into the geographical coverage of the license: Ukraine, Armenia, Georgia, Moldova, Tajikistan, Kyrgyzstan, and Uzbekistan. The license allows importation of </w:t>
      </w:r>
      <w:proofErr w:type="spellStart"/>
      <w:r w:rsidRPr="009F6990">
        <w:rPr>
          <w:rFonts w:asciiTheme="minorHAnsi" w:hAnsiTheme="minorHAnsi"/>
          <w:sz w:val="18"/>
          <w:szCs w:val="18"/>
          <w:lang w:val="en-US"/>
        </w:rPr>
        <w:t>peadiatric</w:t>
      </w:r>
      <w:proofErr w:type="spellEnd"/>
      <w:r w:rsidRPr="009F6990">
        <w:rPr>
          <w:rFonts w:asciiTheme="minorHAnsi" w:hAnsiTheme="minorHAnsi"/>
          <w:sz w:val="18"/>
          <w:szCs w:val="18"/>
          <w:lang w:val="en-US"/>
        </w:rPr>
        <w:t xml:space="preserve"> forms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sublicensed from the Patent Pool.</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On the one hand, EECA CAB welcomes the decision of the company to include our region in the geographic coverage of the license. We appreciate Merck’s taking into consideration the needs of the children for whom treatment options are limited, and for whom access to such drugs as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is critical.</w:t>
      </w: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 </w:t>
      </w:r>
    </w:p>
    <w:p w:rsidR="009F6990" w:rsidRPr="00BB09D2" w:rsidRDefault="009F6990" w:rsidP="009F6990">
      <w:pPr>
        <w:rPr>
          <w:rFonts w:asciiTheme="minorHAnsi" w:hAnsiTheme="minorHAnsi"/>
          <w:b/>
          <w:sz w:val="18"/>
          <w:szCs w:val="18"/>
          <w:lang w:val="en-US"/>
        </w:rPr>
      </w:pPr>
      <w:r w:rsidRPr="00BB09D2">
        <w:rPr>
          <w:rFonts w:asciiTheme="minorHAnsi" w:hAnsiTheme="minorHAnsi"/>
          <w:b/>
          <w:sz w:val="18"/>
          <w:szCs w:val="18"/>
          <w:lang w:val="en-US"/>
        </w:rPr>
        <w:t xml:space="preserve">However, in practice, the inclusion of these </w:t>
      </w:r>
      <w:proofErr w:type="gramStart"/>
      <w:r w:rsidRPr="00BB09D2">
        <w:rPr>
          <w:rFonts w:asciiTheme="minorHAnsi" w:hAnsiTheme="minorHAnsi"/>
          <w:b/>
          <w:sz w:val="18"/>
          <w:szCs w:val="18"/>
          <w:lang w:val="en-US"/>
        </w:rPr>
        <w:t>7</w:t>
      </w:r>
      <w:proofErr w:type="gramEnd"/>
      <w:r w:rsidRPr="00BB09D2">
        <w:rPr>
          <w:rFonts w:asciiTheme="minorHAnsi" w:hAnsiTheme="minorHAnsi"/>
          <w:b/>
          <w:sz w:val="18"/>
          <w:szCs w:val="18"/>
          <w:lang w:val="en-US"/>
        </w:rPr>
        <w:t xml:space="preserve"> countries in the license will not lead to a real expansion of access to treatment in the near future. </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Below follows a substantiation based on the analysis of the current availability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in EECA.</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BB09D2">
        <w:rPr>
          <w:rFonts w:asciiTheme="minorHAnsi" w:hAnsiTheme="minorHAnsi"/>
          <w:b/>
          <w:sz w:val="18"/>
          <w:szCs w:val="18"/>
          <w:lang w:val="en-US"/>
        </w:rPr>
        <w:t xml:space="preserve">In Ukraine, </w:t>
      </w:r>
      <w:r w:rsidRPr="009F6990">
        <w:rPr>
          <w:rFonts w:asciiTheme="minorHAnsi" w:hAnsiTheme="minorHAnsi"/>
          <w:sz w:val="18"/>
          <w:szCs w:val="18"/>
          <w:lang w:val="en-US"/>
        </w:rPr>
        <w:t xml:space="preserve">97 people are receiving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among them </w:t>
      </w:r>
      <w:proofErr w:type="gramStart"/>
      <w:r w:rsidRPr="00BB09D2">
        <w:rPr>
          <w:rFonts w:asciiTheme="minorHAnsi" w:hAnsiTheme="minorHAnsi"/>
          <w:b/>
          <w:sz w:val="18"/>
          <w:szCs w:val="18"/>
          <w:lang w:val="en-US"/>
        </w:rPr>
        <w:t>5</w:t>
      </w:r>
      <w:proofErr w:type="gramEnd"/>
      <w:r w:rsidRPr="00BB09D2">
        <w:rPr>
          <w:rFonts w:asciiTheme="minorHAnsi" w:hAnsiTheme="minorHAnsi"/>
          <w:b/>
          <w:sz w:val="18"/>
          <w:szCs w:val="18"/>
          <w:lang w:val="en-US"/>
        </w:rPr>
        <w:t xml:space="preserve"> children</w:t>
      </w:r>
      <w:r w:rsidRPr="009F6990">
        <w:rPr>
          <w:rFonts w:asciiTheme="minorHAnsi" w:hAnsiTheme="minorHAnsi"/>
          <w:sz w:val="18"/>
          <w:szCs w:val="18"/>
          <w:lang w:val="en-US"/>
        </w:rPr>
        <w:t xml:space="preserve">. The required volumes of </w:t>
      </w:r>
      <w:proofErr w:type="spellStart"/>
      <w:r w:rsidRPr="009F6990">
        <w:rPr>
          <w:rFonts w:asciiTheme="minorHAnsi" w:hAnsiTheme="minorHAnsi"/>
          <w:sz w:val="18"/>
          <w:szCs w:val="18"/>
          <w:lang w:val="en-US"/>
        </w:rPr>
        <w:t>paediatric</w:t>
      </w:r>
      <w:proofErr w:type="spellEnd"/>
      <w:r w:rsidRPr="009F6990">
        <w:rPr>
          <w:rFonts w:asciiTheme="minorHAnsi" w:hAnsiTheme="minorHAnsi"/>
          <w:sz w:val="18"/>
          <w:szCs w:val="18"/>
          <w:lang w:val="en-US"/>
        </w:rPr>
        <w:t xml:space="preserve"> formulations are too small to attract generics to the market. It should also be noted that the pediatric formulations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(chewable tablets and granules for solution) that were licensed by the agreement are not registered in Ukraine. This makes it difficult to realize the opportunities provided by this license agreement.</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BB09D2">
        <w:rPr>
          <w:rFonts w:asciiTheme="minorHAnsi" w:hAnsiTheme="minorHAnsi"/>
          <w:b/>
          <w:sz w:val="18"/>
          <w:szCs w:val="18"/>
          <w:lang w:val="en-US"/>
        </w:rPr>
        <w:t>Uzbekistan.</w:t>
      </w:r>
      <w:r w:rsidRPr="009F6990">
        <w:rPr>
          <w:rFonts w:asciiTheme="minorHAnsi" w:hAnsiTheme="minorHAnsi"/>
          <w:sz w:val="18"/>
          <w:szCs w:val="18"/>
          <w:lang w:val="en-US"/>
        </w:rPr>
        <w:t xml:space="preserve"> Approximately 4000 children are receiving ART now, and availability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regimens would be very important. However, given the high cost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this option was not even considered by the Ministry of Health of the Republic of Uzbekistan. It is difficult to estimate the potential size of the market at the moment, but it is unlikely it will be sufficient to motivate generic companies. </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BB09D2">
        <w:rPr>
          <w:rFonts w:asciiTheme="minorHAnsi" w:hAnsiTheme="minorHAnsi"/>
          <w:b/>
          <w:sz w:val="18"/>
          <w:szCs w:val="18"/>
          <w:lang w:val="en-US"/>
        </w:rPr>
        <w:t>In Armenia,</w:t>
      </w:r>
      <w:r w:rsidRPr="009F6990">
        <w:rPr>
          <w:rFonts w:asciiTheme="minorHAnsi" w:hAnsiTheme="minorHAnsi"/>
          <w:sz w:val="18"/>
          <w:szCs w:val="18"/>
          <w:lang w:val="en-US"/>
        </w:rPr>
        <w:t xml:space="preserve"> </w:t>
      </w:r>
      <w:r w:rsidRPr="00BB09D2">
        <w:rPr>
          <w:rFonts w:asciiTheme="minorHAnsi" w:hAnsiTheme="minorHAnsi"/>
          <w:b/>
          <w:sz w:val="18"/>
          <w:szCs w:val="18"/>
          <w:lang w:val="en-US"/>
        </w:rPr>
        <w:t xml:space="preserve">only </w:t>
      </w:r>
      <w:proofErr w:type="gramStart"/>
      <w:r w:rsidRPr="00BB09D2">
        <w:rPr>
          <w:rFonts w:asciiTheme="minorHAnsi" w:hAnsiTheme="minorHAnsi"/>
          <w:b/>
          <w:sz w:val="18"/>
          <w:szCs w:val="18"/>
          <w:lang w:val="en-US"/>
        </w:rPr>
        <w:t>1</w:t>
      </w:r>
      <w:proofErr w:type="gramEnd"/>
      <w:r w:rsidRPr="00BB09D2">
        <w:rPr>
          <w:rFonts w:asciiTheme="minorHAnsi" w:hAnsiTheme="minorHAnsi"/>
          <w:b/>
          <w:sz w:val="18"/>
          <w:szCs w:val="18"/>
          <w:lang w:val="en-US"/>
        </w:rPr>
        <w:t xml:space="preserve"> child is now receiving a regiment with </w:t>
      </w:r>
      <w:proofErr w:type="spellStart"/>
      <w:r w:rsidRPr="00BB09D2">
        <w:rPr>
          <w:rFonts w:asciiTheme="minorHAnsi" w:hAnsiTheme="minorHAnsi"/>
          <w:b/>
          <w:sz w:val="18"/>
          <w:szCs w:val="18"/>
          <w:lang w:val="en-US"/>
        </w:rPr>
        <w:t>raltegravir</w:t>
      </w:r>
      <w:proofErr w:type="spellEnd"/>
      <w:r w:rsidRPr="00BB09D2">
        <w:rPr>
          <w:rFonts w:asciiTheme="minorHAnsi" w:hAnsiTheme="minorHAnsi"/>
          <w:b/>
          <w:sz w:val="18"/>
          <w:szCs w:val="18"/>
          <w:lang w:val="en-US"/>
        </w:rPr>
        <w:t xml:space="preserve"> (adult form</w:t>
      </w:r>
      <w:r w:rsidRPr="009F6990">
        <w:rPr>
          <w:rFonts w:asciiTheme="minorHAnsi" w:hAnsiTheme="minorHAnsi"/>
          <w:sz w:val="18"/>
          <w:szCs w:val="18"/>
          <w:lang w:val="en-US"/>
        </w:rPr>
        <w:t xml:space="preserve">). In the national guidelines,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is included as a second-line regimen, and it is also recommended as a first-line option. However, the drug is not registered in the country, and </w:t>
      </w:r>
      <w:r w:rsidRPr="009F6990">
        <w:rPr>
          <w:rFonts w:asciiTheme="minorHAnsi" w:hAnsiTheme="minorHAnsi"/>
          <w:sz w:val="18"/>
          <w:szCs w:val="18"/>
          <w:lang w:val="en-US"/>
        </w:rPr>
        <w:lastRenderedPageBreak/>
        <w:t xml:space="preserve">its high cost, even in donor </w:t>
      </w:r>
      <w:proofErr w:type="spellStart"/>
      <w:r w:rsidRPr="009F6990">
        <w:rPr>
          <w:rFonts w:asciiTheme="minorHAnsi" w:hAnsiTheme="minorHAnsi"/>
          <w:sz w:val="18"/>
          <w:szCs w:val="18"/>
          <w:lang w:val="en-US"/>
        </w:rPr>
        <w:t>programmes</w:t>
      </w:r>
      <w:proofErr w:type="spellEnd"/>
      <w:r w:rsidRPr="009F6990">
        <w:rPr>
          <w:rFonts w:asciiTheme="minorHAnsi" w:hAnsiTheme="minorHAnsi"/>
          <w:sz w:val="18"/>
          <w:szCs w:val="18"/>
          <w:lang w:val="en-US"/>
        </w:rPr>
        <w:t xml:space="preserve">, is a barrier to increasing the number of patients on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BB09D2">
        <w:rPr>
          <w:rFonts w:asciiTheme="minorHAnsi" w:hAnsiTheme="minorHAnsi"/>
          <w:b/>
          <w:sz w:val="18"/>
          <w:szCs w:val="18"/>
          <w:lang w:val="en-US"/>
        </w:rPr>
        <w:t>In Tajikistan, Moldova and Georgia</w:t>
      </w:r>
      <w:r w:rsidRPr="009F6990">
        <w:rPr>
          <w:rFonts w:asciiTheme="minorHAnsi" w:hAnsiTheme="minorHAnsi"/>
          <w:sz w:val="18"/>
          <w:szCs w:val="18"/>
          <w:lang w:val="en-US"/>
        </w:rPr>
        <w:t xml:space="preserve">,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as of now is </w:t>
      </w:r>
      <w:r w:rsidRPr="00BB09D2">
        <w:rPr>
          <w:rFonts w:asciiTheme="minorHAnsi" w:hAnsiTheme="minorHAnsi"/>
          <w:b/>
          <w:sz w:val="18"/>
          <w:szCs w:val="18"/>
          <w:lang w:val="en-US"/>
        </w:rPr>
        <w:t>neither available nor registered</w:t>
      </w:r>
      <w:r w:rsidRPr="009F6990">
        <w:rPr>
          <w:rFonts w:asciiTheme="minorHAnsi" w:hAnsiTheme="minorHAnsi"/>
          <w:sz w:val="18"/>
          <w:szCs w:val="18"/>
          <w:lang w:val="en-US"/>
        </w:rPr>
        <w:t>. Consequently, children do not have access to the drug. Data on the availability of pediatric formulations in Kyrgyzstan is currently not available.</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Thus, under the circumstances, we can talk about </w:t>
      </w:r>
      <w:r w:rsidRPr="00BB09D2">
        <w:rPr>
          <w:rFonts w:asciiTheme="minorHAnsi" w:hAnsiTheme="minorHAnsi"/>
          <w:b/>
          <w:sz w:val="18"/>
          <w:szCs w:val="18"/>
          <w:lang w:val="en-US"/>
        </w:rPr>
        <w:t xml:space="preserve">some theoretical possibility of expanding access to treatment de facto for </w:t>
      </w:r>
      <w:proofErr w:type="gramStart"/>
      <w:r w:rsidRPr="00BB09D2">
        <w:rPr>
          <w:rFonts w:asciiTheme="minorHAnsi" w:hAnsiTheme="minorHAnsi"/>
          <w:b/>
          <w:sz w:val="18"/>
          <w:szCs w:val="18"/>
          <w:lang w:val="en-US"/>
        </w:rPr>
        <w:t>6</w:t>
      </w:r>
      <w:proofErr w:type="gramEnd"/>
      <w:r w:rsidRPr="00BB09D2">
        <w:rPr>
          <w:rFonts w:asciiTheme="minorHAnsi" w:hAnsiTheme="minorHAnsi"/>
          <w:b/>
          <w:sz w:val="18"/>
          <w:szCs w:val="18"/>
          <w:lang w:val="en-US"/>
        </w:rPr>
        <w:t xml:space="preserve"> children (in Ukraine and Armenia),</w:t>
      </w:r>
      <w:r w:rsidRPr="009F6990">
        <w:rPr>
          <w:rFonts w:asciiTheme="minorHAnsi" w:hAnsiTheme="minorHAnsi"/>
          <w:sz w:val="18"/>
          <w:szCs w:val="18"/>
          <w:lang w:val="en-US"/>
        </w:rPr>
        <w:t xml:space="preserve"> and, possibly, for a small number of children in Uzbekistan. In general, the number of children who are receiving or may receive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in our region is so small that it is unlikely to attract generic companies to the markets of the region.</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The situation can change if the agreement is extended to the adult form of RAL.</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9F6990">
        <w:rPr>
          <w:rFonts w:asciiTheme="minorHAnsi" w:hAnsiTheme="minorHAnsi"/>
          <w:sz w:val="18"/>
          <w:szCs w:val="18"/>
          <w:lang w:val="en-US"/>
        </w:rPr>
        <w:t xml:space="preserve">It is also important to note that last year the region faced a dramatic deterioration of the socio-economic situation; budgets allocated to health care were cut. Withdrawal or limitation of the GF </w:t>
      </w:r>
      <w:proofErr w:type="spellStart"/>
      <w:r w:rsidRPr="009F6990">
        <w:rPr>
          <w:rFonts w:asciiTheme="minorHAnsi" w:hAnsiTheme="minorHAnsi"/>
          <w:sz w:val="18"/>
          <w:szCs w:val="18"/>
          <w:lang w:val="en-US"/>
        </w:rPr>
        <w:t>programmes</w:t>
      </w:r>
      <w:proofErr w:type="spellEnd"/>
      <w:r w:rsidRPr="009F6990">
        <w:rPr>
          <w:rFonts w:asciiTheme="minorHAnsi" w:hAnsiTheme="minorHAnsi"/>
          <w:sz w:val="18"/>
          <w:szCs w:val="18"/>
          <w:lang w:val="en-US"/>
        </w:rPr>
        <w:t xml:space="preserve"> has led to stock-outs of treatment. Under these conditions, such an expensive medicine as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is unlikely to be included in the national treatment </w:t>
      </w:r>
      <w:proofErr w:type="spellStart"/>
      <w:r w:rsidRPr="009F6990">
        <w:rPr>
          <w:rFonts w:asciiTheme="minorHAnsi" w:hAnsiTheme="minorHAnsi"/>
          <w:sz w:val="18"/>
          <w:szCs w:val="18"/>
          <w:lang w:val="en-US"/>
        </w:rPr>
        <w:t>programmes</w:t>
      </w:r>
      <w:proofErr w:type="spellEnd"/>
      <w:r w:rsidRPr="009F6990">
        <w:rPr>
          <w:rFonts w:asciiTheme="minorHAnsi" w:hAnsiTheme="minorHAnsi"/>
          <w:sz w:val="18"/>
          <w:szCs w:val="18"/>
          <w:lang w:val="en-US"/>
        </w:rPr>
        <w:t xml:space="preserve"> funded by the state. Consequently, a significant price decrease will be critical to improve access.</w:t>
      </w:r>
    </w:p>
    <w:p w:rsidR="009F6990" w:rsidRPr="009F6990" w:rsidRDefault="009F6990" w:rsidP="009F6990">
      <w:pPr>
        <w:rPr>
          <w:rFonts w:asciiTheme="minorHAnsi" w:hAnsiTheme="minorHAnsi"/>
          <w:sz w:val="18"/>
          <w:szCs w:val="18"/>
          <w:lang w:val="en-US"/>
        </w:rPr>
      </w:pPr>
    </w:p>
    <w:p w:rsidR="009F6990" w:rsidRPr="009F6990" w:rsidRDefault="009F6990" w:rsidP="009F6990">
      <w:pPr>
        <w:rPr>
          <w:rFonts w:asciiTheme="minorHAnsi" w:hAnsiTheme="minorHAnsi"/>
          <w:sz w:val="18"/>
          <w:szCs w:val="18"/>
          <w:lang w:val="en-US"/>
        </w:rPr>
      </w:pPr>
      <w:r w:rsidRPr="00BB09D2">
        <w:rPr>
          <w:rFonts w:asciiTheme="minorHAnsi" w:hAnsiTheme="minorHAnsi"/>
          <w:b/>
          <w:sz w:val="18"/>
          <w:szCs w:val="18"/>
          <w:lang w:val="en-US"/>
        </w:rPr>
        <w:t xml:space="preserve">We call on Merck Sharp &amp; </w:t>
      </w:r>
      <w:proofErr w:type="spellStart"/>
      <w:r w:rsidRPr="00BB09D2">
        <w:rPr>
          <w:rFonts w:asciiTheme="minorHAnsi" w:hAnsiTheme="minorHAnsi"/>
          <w:b/>
          <w:sz w:val="18"/>
          <w:szCs w:val="18"/>
          <w:lang w:val="en-US"/>
        </w:rPr>
        <w:t>Dohme</w:t>
      </w:r>
      <w:proofErr w:type="spellEnd"/>
      <w:r w:rsidRPr="00BB09D2">
        <w:rPr>
          <w:rFonts w:asciiTheme="minorHAnsi" w:hAnsiTheme="minorHAnsi"/>
          <w:b/>
          <w:sz w:val="18"/>
          <w:szCs w:val="18"/>
          <w:lang w:val="en-US"/>
        </w:rPr>
        <w:t xml:space="preserve"> Corp. and MSD Italia </w:t>
      </w:r>
      <w:proofErr w:type="spellStart"/>
      <w:r w:rsidRPr="00BB09D2">
        <w:rPr>
          <w:rFonts w:asciiTheme="minorHAnsi" w:hAnsiTheme="minorHAnsi"/>
          <w:b/>
          <w:sz w:val="18"/>
          <w:szCs w:val="18"/>
          <w:lang w:val="en-US"/>
        </w:rPr>
        <w:t>s.r.l</w:t>
      </w:r>
      <w:proofErr w:type="spellEnd"/>
      <w:r w:rsidRPr="00BB09D2">
        <w:rPr>
          <w:rFonts w:asciiTheme="minorHAnsi" w:hAnsiTheme="minorHAnsi"/>
          <w:b/>
          <w:sz w:val="18"/>
          <w:szCs w:val="18"/>
          <w:lang w:val="en-US"/>
        </w:rPr>
        <w:t xml:space="preserve">. ("Merck") to extend the terms of the license agreement covering EECA countries to the adult forms of </w:t>
      </w:r>
      <w:proofErr w:type="spellStart"/>
      <w:r w:rsidRPr="00BB09D2">
        <w:rPr>
          <w:rFonts w:asciiTheme="minorHAnsi" w:hAnsiTheme="minorHAnsi"/>
          <w:b/>
          <w:sz w:val="18"/>
          <w:szCs w:val="18"/>
          <w:lang w:val="en-US"/>
        </w:rPr>
        <w:t>raltegravir</w:t>
      </w:r>
      <w:proofErr w:type="spellEnd"/>
      <w:r w:rsidRPr="00BB09D2">
        <w:rPr>
          <w:rFonts w:asciiTheme="minorHAnsi" w:hAnsiTheme="minorHAnsi"/>
          <w:b/>
          <w:sz w:val="18"/>
          <w:szCs w:val="18"/>
          <w:lang w:val="en-US"/>
        </w:rPr>
        <w:t xml:space="preserve">. </w:t>
      </w:r>
      <w:proofErr w:type="gramStart"/>
      <w:r w:rsidRPr="00BB09D2">
        <w:rPr>
          <w:rFonts w:asciiTheme="minorHAnsi" w:hAnsiTheme="minorHAnsi"/>
          <w:b/>
          <w:sz w:val="18"/>
          <w:szCs w:val="18"/>
          <w:lang w:val="en-US"/>
        </w:rPr>
        <w:t>Also</w:t>
      </w:r>
      <w:proofErr w:type="gramEnd"/>
      <w:r w:rsidRPr="00BB09D2">
        <w:rPr>
          <w:rFonts w:asciiTheme="minorHAnsi" w:hAnsiTheme="minorHAnsi"/>
          <w:b/>
          <w:sz w:val="18"/>
          <w:szCs w:val="18"/>
          <w:lang w:val="en-US"/>
        </w:rPr>
        <w:t xml:space="preserve">, we urge Merck to take steps to ensure registration of the medicine in countries where it is still not registered, and, given the difficult social and </w:t>
      </w:r>
      <w:proofErr w:type="spellStart"/>
      <w:r w:rsidRPr="00BB09D2">
        <w:rPr>
          <w:rFonts w:asciiTheme="minorHAnsi" w:hAnsiTheme="minorHAnsi"/>
          <w:b/>
          <w:sz w:val="18"/>
          <w:szCs w:val="18"/>
          <w:lang w:val="en-US"/>
        </w:rPr>
        <w:t>economical</w:t>
      </w:r>
      <w:proofErr w:type="spellEnd"/>
      <w:r w:rsidRPr="00BB09D2">
        <w:rPr>
          <w:rFonts w:asciiTheme="minorHAnsi" w:hAnsiTheme="minorHAnsi"/>
          <w:b/>
          <w:sz w:val="18"/>
          <w:szCs w:val="18"/>
          <w:lang w:val="en-US"/>
        </w:rPr>
        <w:t xml:space="preserve"> situation the region is currently facing, decrease prices for </w:t>
      </w:r>
      <w:proofErr w:type="spellStart"/>
      <w:r w:rsidRPr="00BB09D2">
        <w:rPr>
          <w:rFonts w:asciiTheme="minorHAnsi" w:hAnsiTheme="minorHAnsi"/>
          <w:b/>
          <w:sz w:val="18"/>
          <w:szCs w:val="18"/>
          <w:lang w:val="en-US"/>
        </w:rPr>
        <w:t>raltegravir</w:t>
      </w:r>
      <w:proofErr w:type="spellEnd"/>
      <w:r w:rsidRPr="00BB09D2">
        <w:rPr>
          <w:rFonts w:asciiTheme="minorHAnsi" w:hAnsiTheme="minorHAnsi"/>
          <w:b/>
          <w:sz w:val="18"/>
          <w:szCs w:val="18"/>
          <w:lang w:val="en-US"/>
        </w:rPr>
        <w:t xml:space="preserve"> in the countries where it is used.</w:t>
      </w:r>
      <w:r w:rsidRPr="009F6990">
        <w:rPr>
          <w:rFonts w:asciiTheme="minorHAnsi" w:hAnsiTheme="minorHAnsi"/>
          <w:sz w:val="18"/>
          <w:szCs w:val="18"/>
          <w:lang w:val="en-US"/>
        </w:rPr>
        <w:t xml:space="preserve"> These actions will prove the commitment of Merck to the idea of providing access to all who are in need of treatment and will demonstrate social responsibility of the company.</w:t>
      </w:r>
    </w:p>
    <w:p w:rsidR="009F6990" w:rsidRPr="009F6990" w:rsidRDefault="009F6990" w:rsidP="009F6990">
      <w:pPr>
        <w:rPr>
          <w:rFonts w:asciiTheme="minorHAnsi" w:hAnsiTheme="minorHAnsi"/>
          <w:sz w:val="18"/>
          <w:szCs w:val="18"/>
          <w:lang w:val="en-US"/>
        </w:rPr>
      </w:pPr>
    </w:p>
    <w:p w:rsidR="00EE1E57" w:rsidRPr="00B450FC" w:rsidRDefault="009F6990" w:rsidP="009F6990">
      <w:pPr>
        <w:rPr>
          <w:rFonts w:asciiTheme="minorHAnsi" w:hAnsiTheme="minorHAnsi" w:cs="Calibri"/>
          <w:b/>
          <w:bCs/>
          <w:sz w:val="18"/>
          <w:szCs w:val="18"/>
          <w:lang w:val="en-US"/>
        </w:rPr>
      </w:pPr>
      <w:r w:rsidRPr="009F6990">
        <w:rPr>
          <w:rFonts w:asciiTheme="minorHAnsi" w:hAnsiTheme="minorHAnsi"/>
          <w:sz w:val="18"/>
          <w:szCs w:val="18"/>
          <w:lang w:val="en-US"/>
        </w:rPr>
        <w:t xml:space="preserve">We are ready to provide an additional justification based on epidemiological, </w:t>
      </w:r>
      <w:proofErr w:type="spellStart"/>
      <w:r w:rsidRPr="009F6990">
        <w:rPr>
          <w:rFonts w:asciiTheme="minorHAnsi" w:hAnsiTheme="minorHAnsi"/>
          <w:sz w:val="18"/>
          <w:szCs w:val="18"/>
          <w:lang w:val="en-US"/>
        </w:rPr>
        <w:t>economical</w:t>
      </w:r>
      <w:proofErr w:type="spellEnd"/>
      <w:r w:rsidRPr="009F6990">
        <w:rPr>
          <w:rFonts w:asciiTheme="minorHAnsi" w:hAnsiTheme="minorHAnsi"/>
          <w:sz w:val="18"/>
          <w:szCs w:val="18"/>
          <w:lang w:val="en-US"/>
        </w:rPr>
        <w:t xml:space="preserve"> and political data to build a productive dialogue on the inclusion of EECA in the list of countries to be covered by the voluntary license for adult forms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We are also ready to ensure a productive trilateral dialogue between the community of patients, the pharmaceutical sector and the governments of our countries in order to provide an opportunity for prompt voluntary licensing of </w:t>
      </w:r>
      <w:proofErr w:type="spellStart"/>
      <w:r w:rsidRPr="009F6990">
        <w:rPr>
          <w:rFonts w:asciiTheme="minorHAnsi" w:hAnsiTheme="minorHAnsi"/>
          <w:sz w:val="18"/>
          <w:szCs w:val="18"/>
          <w:lang w:val="en-US"/>
        </w:rPr>
        <w:t>raltegravir</w:t>
      </w:r>
      <w:proofErr w:type="spellEnd"/>
      <w:r w:rsidRPr="009F6990">
        <w:rPr>
          <w:rFonts w:asciiTheme="minorHAnsi" w:hAnsiTheme="minorHAnsi"/>
          <w:sz w:val="18"/>
          <w:szCs w:val="18"/>
          <w:lang w:val="en-US"/>
        </w:rPr>
        <w:t xml:space="preserve"> to make it available for all who are in need of the drug in the region of EECA.</w:t>
      </w:r>
    </w:p>
    <w:tbl>
      <w:tblPr>
        <w:tblStyle w:val="a7"/>
        <w:tblW w:w="0" w:type="auto"/>
        <w:tblLook w:val="04A0" w:firstRow="1" w:lastRow="0" w:firstColumn="1" w:lastColumn="0" w:noHBand="0" w:noVBand="1"/>
      </w:tblPr>
      <w:tblGrid>
        <w:gridCol w:w="4823"/>
        <w:gridCol w:w="5032"/>
      </w:tblGrid>
      <w:tr w:rsidR="00FE7286" w:rsidTr="00FE7286">
        <w:tc>
          <w:tcPr>
            <w:tcW w:w="5139" w:type="dxa"/>
            <w:tcBorders>
              <w:top w:val="single" w:sz="4" w:space="0" w:color="auto"/>
              <w:left w:val="single" w:sz="4" w:space="0" w:color="auto"/>
              <w:bottom w:val="single" w:sz="4" w:space="0" w:color="auto"/>
              <w:right w:val="single" w:sz="4" w:space="0" w:color="auto"/>
            </w:tcBorders>
            <w:hideMark/>
          </w:tcPr>
          <w:p w:rsidR="00FE7286" w:rsidRPr="002739AA" w:rsidRDefault="00FE7286">
            <w:pPr>
              <w:widowControl w:val="0"/>
              <w:autoSpaceDE w:val="0"/>
              <w:autoSpaceDN w:val="0"/>
              <w:adjustRightInd w:val="0"/>
              <w:jc w:val="both"/>
              <w:rPr>
                <w:rFonts w:asciiTheme="minorHAnsi" w:hAnsiTheme="minorHAnsi"/>
                <w:sz w:val="16"/>
                <w:szCs w:val="16"/>
                <w:lang w:val="en-US" w:eastAsia="ru-RU"/>
              </w:rPr>
            </w:pPr>
            <w:r w:rsidRPr="002739AA">
              <w:rPr>
                <w:rFonts w:asciiTheme="minorHAnsi" w:hAnsiTheme="minorHAnsi"/>
                <w:sz w:val="16"/>
                <w:szCs w:val="16"/>
                <w:lang w:val="en-US" w:eastAsia="ru-RU"/>
              </w:rPr>
              <w:t>President</w:t>
            </w:r>
            <w:r w:rsidRPr="002739AA">
              <w:rPr>
                <w:rFonts w:asciiTheme="minorHAnsi" w:hAnsiTheme="minorHAnsi"/>
                <w:sz w:val="16"/>
                <w:szCs w:val="16"/>
                <w:lang w:val="en-US" w:eastAsia="ru-RU"/>
              </w:rPr>
              <w:tab/>
            </w:r>
            <w:r w:rsidRPr="002739AA">
              <w:rPr>
                <w:rFonts w:asciiTheme="minorHAnsi" w:hAnsiTheme="minorHAnsi"/>
                <w:sz w:val="16"/>
                <w:szCs w:val="16"/>
                <w:lang w:val="en-US" w:eastAsia="ru-RU"/>
              </w:rPr>
              <w:tab/>
            </w:r>
          </w:p>
          <w:p w:rsidR="00FE7286" w:rsidRDefault="00FE7286">
            <w:pPr>
              <w:widowControl w:val="0"/>
              <w:autoSpaceDE w:val="0"/>
              <w:autoSpaceDN w:val="0"/>
              <w:adjustRightInd w:val="0"/>
              <w:jc w:val="both"/>
              <w:rPr>
                <w:rFonts w:asciiTheme="minorHAnsi" w:hAnsiTheme="minorHAnsi"/>
                <w:sz w:val="16"/>
                <w:szCs w:val="16"/>
                <w:lang w:val="en-US" w:eastAsia="ru-RU"/>
              </w:rPr>
            </w:pPr>
            <w:r w:rsidRPr="002739AA">
              <w:rPr>
                <w:rFonts w:asciiTheme="minorHAnsi" w:hAnsiTheme="minorHAnsi"/>
                <w:sz w:val="16"/>
                <w:szCs w:val="16"/>
                <w:lang w:val="en-US" w:eastAsia="ru-RU"/>
              </w:rPr>
              <w:t>East Europe &amp; Central Asia Union of PLHIV</w:t>
            </w:r>
          </w:p>
          <w:p w:rsidR="00FE7286" w:rsidRDefault="00FE7286">
            <w:pPr>
              <w:widowControl w:val="0"/>
              <w:autoSpaceDE w:val="0"/>
              <w:autoSpaceDN w:val="0"/>
              <w:adjustRightInd w:val="0"/>
              <w:jc w:val="both"/>
              <w:rPr>
                <w:rFonts w:asciiTheme="minorHAnsi" w:hAnsiTheme="minorHAnsi"/>
                <w:sz w:val="16"/>
                <w:szCs w:val="16"/>
                <w:lang w:val="en-US" w:eastAsia="ru-RU"/>
              </w:rPr>
            </w:pPr>
            <w:r>
              <w:rPr>
                <w:rFonts w:asciiTheme="minorHAnsi" w:hAnsiTheme="minorHAnsi" w:cs="Segoe UI"/>
                <w:noProof/>
                <w:sz w:val="16"/>
                <w:szCs w:val="16"/>
                <w:lang w:val="ru-RU" w:eastAsia="ru-RU"/>
              </w:rPr>
              <w:drawing>
                <wp:inline distT="0" distB="0" distL="0" distR="0">
                  <wp:extent cx="1114425" cy="847725"/>
                  <wp:effectExtent l="0" t="0" r="0" b="0"/>
                  <wp:docPr id="5" name="Рисунок 5"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unn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tc>
        <w:tc>
          <w:tcPr>
            <w:tcW w:w="5140" w:type="dxa"/>
            <w:tcBorders>
              <w:top w:val="single" w:sz="4" w:space="0" w:color="auto"/>
              <w:left w:val="single" w:sz="4" w:space="0" w:color="auto"/>
              <w:bottom w:val="single" w:sz="4" w:space="0" w:color="auto"/>
              <w:right w:val="single" w:sz="4" w:space="0" w:color="auto"/>
            </w:tcBorders>
            <w:hideMark/>
          </w:tcPr>
          <w:p w:rsidR="00FE7286" w:rsidRDefault="00FE7286">
            <w:pPr>
              <w:widowControl w:val="0"/>
              <w:autoSpaceDE w:val="0"/>
              <w:autoSpaceDN w:val="0"/>
              <w:adjustRightInd w:val="0"/>
              <w:jc w:val="both"/>
              <w:rPr>
                <w:rFonts w:asciiTheme="minorHAnsi" w:hAnsiTheme="minorHAnsi" w:cs="Segoe UI"/>
                <w:sz w:val="16"/>
                <w:szCs w:val="16"/>
                <w:lang w:val="en-US" w:eastAsia="ru-RU"/>
              </w:rPr>
            </w:pPr>
            <w:r>
              <w:rPr>
                <w:rFonts w:asciiTheme="minorHAnsi" w:hAnsiTheme="minorHAnsi" w:cs="Segoe UI"/>
                <w:sz w:val="16"/>
                <w:szCs w:val="16"/>
                <w:lang w:val="en-US" w:eastAsia="ru-RU"/>
              </w:rPr>
              <w:t>Regional coordinator of the ITPCru</w:t>
            </w:r>
          </w:p>
          <w:p w:rsidR="00FE7286" w:rsidRDefault="00FE7286">
            <w:pPr>
              <w:widowControl w:val="0"/>
              <w:autoSpaceDE w:val="0"/>
              <w:autoSpaceDN w:val="0"/>
              <w:adjustRightInd w:val="0"/>
              <w:jc w:val="both"/>
              <w:rPr>
                <w:rFonts w:asciiTheme="minorHAnsi" w:hAnsiTheme="minorHAnsi"/>
                <w:sz w:val="16"/>
                <w:szCs w:val="16"/>
                <w:lang w:val="ru-RU" w:eastAsia="ru-RU"/>
              </w:rPr>
            </w:pPr>
            <w:r>
              <w:rPr>
                <w:noProof/>
                <w:lang w:val="ru-RU" w:eastAsia="ru-RU"/>
              </w:rPr>
              <w:drawing>
                <wp:inline distT="0" distB="0" distL="0" distR="0">
                  <wp:extent cx="2438400"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a:ln>
                            <a:noFill/>
                          </a:ln>
                        </pic:spPr>
                      </pic:pic>
                    </a:graphicData>
                  </a:graphic>
                </wp:inline>
              </w:drawing>
            </w:r>
          </w:p>
        </w:tc>
      </w:tr>
    </w:tbl>
    <w:p w:rsidR="007852BD" w:rsidRPr="00B450FC" w:rsidRDefault="007852BD" w:rsidP="00FE7286">
      <w:pPr>
        <w:autoSpaceDE w:val="0"/>
        <w:autoSpaceDN w:val="0"/>
        <w:adjustRightInd w:val="0"/>
        <w:rPr>
          <w:rFonts w:asciiTheme="minorHAnsi" w:hAnsiTheme="minorHAnsi" w:cs="Calibri"/>
          <w:b/>
          <w:bCs/>
          <w:sz w:val="18"/>
          <w:szCs w:val="18"/>
          <w:lang w:val="en-US"/>
        </w:rPr>
      </w:pPr>
    </w:p>
    <w:sectPr w:rsidR="007852BD" w:rsidRPr="00B450FC" w:rsidSect="00C4428A">
      <w:headerReference w:type="default" r:id="rId10"/>
      <w:footerReference w:type="default" r:id="rId11"/>
      <w:pgSz w:w="11906" w:h="16838"/>
      <w:pgMar w:top="850" w:right="850" w:bottom="850" w:left="1417" w:header="360"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78" w:rsidRDefault="00934B78">
      <w:r>
        <w:separator/>
      </w:r>
    </w:p>
  </w:endnote>
  <w:endnote w:type="continuationSeparator" w:id="0">
    <w:p w:rsidR="00934B78" w:rsidRDefault="0093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57" w:rsidRPr="00673822" w:rsidRDefault="00934B78" w:rsidP="00EE1E57">
    <w:pPr>
      <w:pStyle w:val="a3"/>
      <w:jc w:val="center"/>
      <w:rPr>
        <w:color w:val="365F91"/>
      </w:rPr>
    </w:pPr>
    <w:hyperlink r:id="rId1" w:history="1">
      <w:r w:rsidR="00EE1E57" w:rsidRPr="00916E35">
        <w:rPr>
          <w:rStyle w:val="a6"/>
          <w:color w:val="365F91"/>
          <w:lang w:val="en-US"/>
        </w:rPr>
        <w:t>http</w:t>
      </w:r>
      <w:r w:rsidR="00EE1E57" w:rsidRPr="00673822">
        <w:rPr>
          <w:rStyle w:val="a6"/>
          <w:color w:val="365F91"/>
        </w:rPr>
        <w:t>://</w:t>
      </w:r>
      <w:proofErr w:type="spellStart"/>
      <w:r w:rsidR="00EE1E57" w:rsidRPr="00916E35">
        <w:rPr>
          <w:rStyle w:val="a6"/>
          <w:color w:val="365F91"/>
          <w:lang w:val="en-US"/>
        </w:rPr>
        <w:t>itpcru</w:t>
      </w:r>
      <w:proofErr w:type="spellEnd"/>
      <w:r w:rsidR="00EE1E57" w:rsidRPr="00673822">
        <w:rPr>
          <w:rStyle w:val="a6"/>
          <w:color w:val="365F91"/>
        </w:rPr>
        <w:t>.</w:t>
      </w:r>
      <w:r w:rsidR="00EE1E57" w:rsidRPr="00916E35">
        <w:rPr>
          <w:rStyle w:val="a6"/>
          <w:color w:val="365F91"/>
          <w:lang w:val="en-US"/>
        </w:rPr>
        <w:t>org</w:t>
      </w:r>
      <w:r w:rsidR="00EE1E57" w:rsidRPr="00673822">
        <w:rPr>
          <w:rStyle w:val="a6"/>
          <w:color w:val="365F91"/>
        </w:rPr>
        <w:t>/</w:t>
      </w:r>
      <w:proofErr w:type="spellStart"/>
      <w:r w:rsidR="00EE1E57" w:rsidRPr="00916E35">
        <w:rPr>
          <w:rStyle w:val="a6"/>
          <w:color w:val="365F91"/>
          <w:lang w:val="en-US"/>
        </w:rPr>
        <w:t>eecacab</w:t>
      </w:r>
      <w:proofErr w:type="spellEnd"/>
      <w:r w:rsidR="00EE1E57" w:rsidRPr="00673822">
        <w:rPr>
          <w:rStyle w:val="a6"/>
          <w:color w:val="365F91"/>
        </w:rPr>
        <w:t>/</w:t>
      </w:r>
    </w:hyperlink>
  </w:p>
  <w:p w:rsidR="00EE1E57" w:rsidRPr="00673822" w:rsidRDefault="00316A0A" w:rsidP="00EE1E57">
    <w:pPr>
      <w:pStyle w:val="a3"/>
      <w:jc w:val="center"/>
      <w:rPr>
        <w:color w:val="365F91"/>
      </w:rPr>
    </w:pPr>
    <w:r>
      <w:rPr>
        <w:noProof/>
        <w:color w:val="365F91"/>
        <w:lang w:val="ru-RU" w:eastAsia="ru-RU"/>
      </w:rPr>
      <mc:AlternateContent>
        <mc:Choice Requires="wps">
          <w:drawing>
            <wp:anchor distT="91440" distB="91440" distL="114300" distR="114300" simplePos="0" relativeHeight="251659264" behindDoc="1" locked="0" layoutInCell="1" allowOverlap="1">
              <wp:simplePos x="0" y="0"/>
              <wp:positionH relativeFrom="page">
                <wp:posOffset>720090</wp:posOffset>
              </wp:positionH>
              <wp:positionV relativeFrom="page">
                <wp:posOffset>9905365</wp:posOffset>
              </wp:positionV>
              <wp:extent cx="612076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40925BF" id="Прямоугольник 58" o:spid="_x0000_s1026" style="position:absolute;margin-left:56.7pt;margin-top:779.95pt;width:481.95pt;height:2.85pt;z-index:-25165721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" fillcolor="#4f81bd" stroked="f" strokeweight="2pt">
              <v:path arrowok="t"/>
              <w10:wrap type="square" anchorx="page" anchory="page"/>
            </v:rect>
          </w:pict>
        </mc:Fallback>
      </mc:AlternateContent>
    </w:r>
    <w:hyperlink r:id="rId2" w:history="1">
      <w:r w:rsidR="00EE1E57" w:rsidRPr="00916E35">
        <w:rPr>
          <w:rStyle w:val="a6"/>
          <w:color w:val="365F91"/>
          <w:lang w:val="en-US"/>
        </w:rPr>
        <w:t>http</w:t>
      </w:r>
      <w:r w:rsidR="00EE1E57" w:rsidRPr="00673822">
        <w:rPr>
          <w:rStyle w:val="a6"/>
          <w:color w:val="365F91"/>
        </w:rPr>
        <w:t>://</w:t>
      </w:r>
      <w:proofErr w:type="spellStart"/>
      <w:r w:rsidR="00EE1E57" w:rsidRPr="00916E35">
        <w:rPr>
          <w:rStyle w:val="a6"/>
          <w:color w:val="365F91"/>
          <w:lang w:val="en-US"/>
        </w:rPr>
        <w:t>ecuo</w:t>
      </w:r>
      <w:proofErr w:type="spellEnd"/>
      <w:r w:rsidR="00EE1E57" w:rsidRPr="00673822">
        <w:rPr>
          <w:rStyle w:val="a6"/>
          <w:color w:val="365F91"/>
        </w:rPr>
        <w:t>.</w:t>
      </w:r>
      <w:r w:rsidR="00EE1E57" w:rsidRPr="00916E35">
        <w:rPr>
          <w:rStyle w:val="a6"/>
          <w:color w:val="365F91"/>
          <w:lang w:val="en-US"/>
        </w:rPr>
        <w:t>org</w:t>
      </w:r>
      <w:r w:rsidR="00EE1E57" w:rsidRPr="00673822">
        <w:rPr>
          <w:rStyle w:val="a6"/>
          <w:color w:val="365F91"/>
        </w:rPr>
        <w:t>/</w:t>
      </w:r>
      <w:proofErr w:type="spellStart"/>
      <w:r w:rsidR="00EE1E57" w:rsidRPr="00916E35">
        <w:rPr>
          <w:rStyle w:val="a6"/>
          <w:color w:val="365F91"/>
          <w:lang w:val="en-US"/>
        </w:rPr>
        <w:t>ru</w:t>
      </w:r>
      <w:proofErr w:type="spellEnd"/>
      <w:r w:rsidR="00EE1E57" w:rsidRPr="00673822">
        <w:rPr>
          <w:rStyle w:val="a6"/>
          <w:color w:val="365F91"/>
        </w:rPr>
        <w:t>/</w:t>
      </w:r>
      <w:proofErr w:type="spellStart"/>
      <w:r w:rsidR="00EE1E57" w:rsidRPr="00916E35">
        <w:rPr>
          <w:rStyle w:val="a6"/>
          <w:color w:val="365F91"/>
          <w:lang w:val="en-US"/>
        </w:rPr>
        <w:t>ecuo</w:t>
      </w:r>
      <w:proofErr w:type="spellEnd"/>
      <w:r w:rsidR="00EE1E57" w:rsidRPr="00673822">
        <w:rPr>
          <w:rStyle w:val="a6"/>
          <w:color w:val="365F91"/>
        </w:rPr>
        <w:t>/</w:t>
      </w:r>
      <w:r w:rsidR="00EE1E57" w:rsidRPr="00916E35">
        <w:rPr>
          <w:rStyle w:val="a6"/>
          <w:color w:val="365F91"/>
          <w:lang w:val="en-US"/>
        </w:rPr>
        <w:t>advocacy</w:t>
      </w:r>
      <w:r w:rsidR="00EE1E57" w:rsidRPr="00673822">
        <w:rPr>
          <w:rStyle w:val="a6"/>
          <w:color w:val="365F91"/>
        </w:rPr>
        <w:t>/</w:t>
      </w:r>
      <w:proofErr w:type="spellStart"/>
      <w:r w:rsidR="00EE1E57" w:rsidRPr="00916E35">
        <w:rPr>
          <w:rStyle w:val="a6"/>
          <w:color w:val="365F91"/>
          <w:lang w:val="en-US"/>
        </w:rPr>
        <w:t>ecca</w:t>
      </w:r>
      <w:proofErr w:type="spellEnd"/>
      <w:r w:rsidR="00EE1E57" w:rsidRPr="00673822">
        <w:rPr>
          <w:rStyle w:val="a6"/>
          <w:color w:val="365F91"/>
        </w:rPr>
        <w:t>-</w:t>
      </w:r>
      <w:r w:rsidR="00EE1E57" w:rsidRPr="00916E35">
        <w:rPr>
          <w:rStyle w:val="a6"/>
          <w:color w:val="365F91"/>
          <w:lang w:val="en-US"/>
        </w:rPr>
        <w:t>cab</w:t>
      </w:r>
      <w:r w:rsidR="00EE1E57" w:rsidRPr="00673822">
        <w:rPr>
          <w:rStyle w:val="a6"/>
          <w:color w:val="365F91"/>
        </w:rPr>
        <w:t>/</w:t>
      </w:r>
    </w:hyperlink>
  </w:p>
  <w:p w:rsidR="00EE1E57" w:rsidRPr="00673822" w:rsidRDefault="00EE1E57" w:rsidP="00EE1E57">
    <w:pPr>
      <w:pStyle w:val="a3"/>
    </w:pPr>
  </w:p>
  <w:p w:rsidR="002B647E" w:rsidRPr="00544614" w:rsidRDefault="002B647E">
    <w:pPr>
      <w:rPr>
        <w:sz w:val="8"/>
        <w:szCs w:val="8"/>
        <w:lang w:val="en-US"/>
      </w:rPr>
    </w:pPr>
  </w:p>
  <w:p w:rsidR="002B647E" w:rsidRPr="000261A3" w:rsidRDefault="002B647E" w:rsidP="000261A3">
    <w:pPr>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78" w:rsidRDefault="00934B78">
      <w:r>
        <w:separator/>
      </w:r>
    </w:p>
  </w:footnote>
  <w:footnote w:type="continuationSeparator" w:id="0">
    <w:p w:rsidR="00934B78" w:rsidRDefault="0093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66" w:type="pct"/>
      <w:tblLook w:val="01E0" w:firstRow="1" w:lastRow="1" w:firstColumn="1" w:lastColumn="1" w:noHBand="0" w:noVBand="0"/>
    </w:tblPr>
    <w:tblGrid>
      <w:gridCol w:w="7621"/>
      <w:gridCol w:w="4926"/>
    </w:tblGrid>
    <w:tr w:rsidR="002B647E" w:rsidRPr="00841D11" w:rsidTr="00B450FC">
      <w:trPr>
        <w:trHeight w:val="1408"/>
      </w:trPr>
      <w:tc>
        <w:tcPr>
          <w:tcW w:w="3037" w:type="pct"/>
        </w:tcPr>
        <w:p w:rsidR="002B647E" w:rsidRPr="00AA4D2B" w:rsidRDefault="00B450FC" w:rsidP="009A506D">
          <w:r>
            <w:rPr>
              <w:noProof/>
              <w:lang w:val="ru-RU" w:eastAsia="ru-RU"/>
            </w:rPr>
            <w:drawing>
              <wp:anchor distT="0" distB="0" distL="114300" distR="114300" simplePos="0" relativeHeight="251658240" behindDoc="0" locked="0" layoutInCell="1" allowOverlap="1" wp14:anchorId="0CE77C10" wp14:editId="278F1CD3">
                <wp:simplePos x="0" y="0"/>
                <wp:positionH relativeFrom="column">
                  <wp:posOffset>1947545</wp:posOffset>
                </wp:positionH>
                <wp:positionV relativeFrom="paragraph">
                  <wp:posOffset>152400</wp:posOffset>
                </wp:positionV>
                <wp:extent cx="2686050" cy="4095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09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57216" behindDoc="0" locked="0" layoutInCell="1" allowOverlap="1" wp14:anchorId="3851882B" wp14:editId="2AE1B855">
                <wp:simplePos x="0" y="0"/>
                <wp:positionH relativeFrom="margin">
                  <wp:posOffset>-6985</wp:posOffset>
                </wp:positionH>
                <wp:positionV relativeFrom="margin">
                  <wp:posOffset>123825</wp:posOffset>
                </wp:positionV>
                <wp:extent cx="1731645" cy="410845"/>
                <wp:effectExtent l="0" t="0" r="0" b="0"/>
                <wp:wrapSquare wrapText="bothSides"/>
                <wp:docPr id="3" name="Рисунок 4" descr="ITPCru_Logo_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TPCru_Logo_2_EN"/>
                        <pic:cNvPicPr>
                          <a:picLocks noChangeAspect="1" noChangeArrowheads="1"/>
                        </pic:cNvPicPr>
                      </pic:nvPicPr>
                      <pic:blipFill>
                        <a:blip r:embed="rId2"/>
                        <a:srcRect/>
                        <a:stretch>
                          <a:fillRect/>
                        </a:stretch>
                      </pic:blipFill>
                      <pic:spPr bwMode="auto">
                        <a:xfrm>
                          <a:off x="0" y="0"/>
                          <a:ext cx="173164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963" w:type="pct"/>
        </w:tcPr>
        <w:p w:rsidR="002B647E" w:rsidRPr="00AA4D2B" w:rsidRDefault="00B450FC" w:rsidP="009A506D">
          <w:r>
            <w:rPr>
              <w:noProof/>
              <w:lang w:val="ru-RU" w:eastAsia="ru-RU"/>
            </w:rPr>
            <w:drawing>
              <wp:anchor distT="0" distB="0" distL="114300" distR="114300" simplePos="0" relativeHeight="251656192" behindDoc="0" locked="0" layoutInCell="1" allowOverlap="1" wp14:anchorId="30695F22" wp14:editId="5573756A">
                <wp:simplePos x="0" y="0"/>
                <wp:positionH relativeFrom="margin">
                  <wp:posOffset>99060</wp:posOffset>
                </wp:positionH>
                <wp:positionV relativeFrom="margin">
                  <wp:posOffset>155575</wp:posOffset>
                </wp:positionV>
                <wp:extent cx="1327785" cy="400050"/>
                <wp:effectExtent l="0" t="0" r="0" b="0"/>
                <wp:wrapSquare wrapText="bothSides"/>
                <wp:docPr id="1" name="Рисунок 2" descr="ecuo_colour_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uo_colour_last"/>
                        <pic:cNvPicPr>
                          <a:picLocks noChangeAspect="1" noChangeArrowheads="1"/>
                        </pic:cNvPicPr>
                      </pic:nvPicPr>
                      <pic:blipFill>
                        <a:blip r:embed="rId3"/>
                        <a:srcRect/>
                        <a:stretch>
                          <a:fillRect/>
                        </a:stretch>
                      </pic:blipFill>
                      <pic:spPr bwMode="auto">
                        <a:xfrm>
                          <a:off x="0" y="0"/>
                          <a:ext cx="1327785"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2B647E" w:rsidRPr="00544614" w:rsidRDefault="002B647E" w:rsidP="00B85890">
    <w:pPr>
      <w:pStyle w:val="a5"/>
      <w:pBdr>
        <w:bottom w:val="single" w:sz="12" w:space="1" w:color="auto"/>
      </w:pBdr>
      <w:rPr>
        <w:rFonts w:ascii="Georgia" w:hAnsi="Georgia"/>
        <w:color w:val="008080"/>
        <w:sz w:val="8"/>
        <w:szCs w:val="8"/>
        <w:lang w:val="en-US"/>
      </w:rPr>
    </w:pPr>
  </w:p>
  <w:p w:rsidR="002B647E" w:rsidRPr="0041510C" w:rsidRDefault="002B647E" w:rsidP="00B8589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71F4"/>
    <w:multiLevelType w:val="hybridMultilevel"/>
    <w:tmpl w:val="F19804CE"/>
    <w:lvl w:ilvl="0" w:tplc="04190001">
      <w:start w:val="1"/>
      <w:numFmt w:val="bullet"/>
      <w:lvlText w:val=""/>
      <w:lvlJc w:val="left"/>
      <w:pPr>
        <w:ind w:left="1484" w:hanging="360"/>
      </w:pPr>
      <w:rPr>
        <w:rFonts w:ascii="Symbol" w:hAnsi="Symbol" w:hint="default"/>
      </w:rPr>
    </w:lvl>
    <w:lvl w:ilvl="1" w:tplc="04190003">
      <w:start w:val="1"/>
      <w:numFmt w:val="bullet"/>
      <w:lvlText w:val="o"/>
      <w:lvlJc w:val="left"/>
      <w:pPr>
        <w:ind w:left="2204" w:hanging="360"/>
      </w:pPr>
      <w:rPr>
        <w:rFonts w:ascii="Courier New" w:hAnsi="Courier New" w:hint="default"/>
      </w:rPr>
    </w:lvl>
    <w:lvl w:ilvl="2" w:tplc="04190005">
      <w:start w:val="1"/>
      <w:numFmt w:val="bullet"/>
      <w:lvlText w:val=""/>
      <w:lvlJc w:val="left"/>
      <w:pPr>
        <w:ind w:left="2924" w:hanging="360"/>
      </w:pPr>
      <w:rPr>
        <w:rFonts w:ascii="Wingdings" w:hAnsi="Wingdings" w:hint="default"/>
      </w:rPr>
    </w:lvl>
    <w:lvl w:ilvl="3" w:tplc="04190001">
      <w:start w:val="1"/>
      <w:numFmt w:val="bullet"/>
      <w:lvlText w:val=""/>
      <w:lvlJc w:val="left"/>
      <w:pPr>
        <w:ind w:left="3644" w:hanging="360"/>
      </w:pPr>
      <w:rPr>
        <w:rFonts w:ascii="Symbol" w:hAnsi="Symbol" w:hint="default"/>
      </w:rPr>
    </w:lvl>
    <w:lvl w:ilvl="4" w:tplc="04190003">
      <w:start w:val="1"/>
      <w:numFmt w:val="bullet"/>
      <w:lvlText w:val="o"/>
      <w:lvlJc w:val="left"/>
      <w:pPr>
        <w:ind w:left="4364" w:hanging="360"/>
      </w:pPr>
      <w:rPr>
        <w:rFonts w:ascii="Courier New" w:hAnsi="Courier New" w:hint="default"/>
      </w:rPr>
    </w:lvl>
    <w:lvl w:ilvl="5" w:tplc="04190005">
      <w:start w:val="1"/>
      <w:numFmt w:val="bullet"/>
      <w:lvlText w:val=""/>
      <w:lvlJc w:val="left"/>
      <w:pPr>
        <w:ind w:left="5084" w:hanging="360"/>
      </w:pPr>
      <w:rPr>
        <w:rFonts w:ascii="Wingdings" w:hAnsi="Wingdings" w:hint="default"/>
      </w:rPr>
    </w:lvl>
    <w:lvl w:ilvl="6" w:tplc="04190001">
      <w:start w:val="1"/>
      <w:numFmt w:val="bullet"/>
      <w:lvlText w:val=""/>
      <w:lvlJc w:val="left"/>
      <w:pPr>
        <w:ind w:left="5804" w:hanging="360"/>
      </w:pPr>
      <w:rPr>
        <w:rFonts w:ascii="Symbol" w:hAnsi="Symbol" w:hint="default"/>
      </w:rPr>
    </w:lvl>
    <w:lvl w:ilvl="7" w:tplc="04190003">
      <w:start w:val="1"/>
      <w:numFmt w:val="bullet"/>
      <w:lvlText w:val="o"/>
      <w:lvlJc w:val="left"/>
      <w:pPr>
        <w:ind w:left="6524" w:hanging="360"/>
      </w:pPr>
      <w:rPr>
        <w:rFonts w:ascii="Courier New" w:hAnsi="Courier New" w:hint="default"/>
      </w:rPr>
    </w:lvl>
    <w:lvl w:ilvl="8" w:tplc="04190005">
      <w:start w:val="1"/>
      <w:numFmt w:val="bullet"/>
      <w:lvlText w:val=""/>
      <w:lvlJc w:val="left"/>
      <w:pPr>
        <w:ind w:left="7244" w:hanging="360"/>
      </w:pPr>
      <w:rPr>
        <w:rFonts w:ascii="Wingdings" w:hAnsi="Wingdings" w:hint="default"/>
      </w:rPr>
    </w:lvl>
  </w:abstractNum>
  <w:abstractNum w:abstractNumId="1">
    <w:nsid w:val="2FC71274"/>
    <w:multiLevelType w:val="hybridMultilevel"/>
    <w:tmpl w:val="3252CD90"/>
    <w:lvl w:ilvl="0" w:tplc="4F04B93A">
      <w:start w:val="1"/>
      <w:numFmt w:val="decimal"/>
      <w:lvlText w:val="%1."/>
      <w:lvlJc w:val="left"/>
      <w:pPr>
        <w:ind w:left="1425" w:hanging="7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D872BFA"/>
    <w:multiLevelType w:val="hybridMultilevel"/>
    <w:tmpl w:val="9714769C"/>
    <w:lvl w:ilvl="0" w:tplc="4F04B93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7E15FF"/>
    <w:multiLevelType w:val="hybridMultilevel"/>
    <w:tmpl w:val="11B21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D46F7A"/>
    <w:multiLevelType w:val="hybridMultilevel"/>
    <w:tmpl w:val="E9E81A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07"/>
    <w:rsid w:val="00025E59"/>
    <w:rsid w:val="000261A3"/>
    <w:rsid w:val="00033D59"/>
    <w:rsid w:val="000360C6"/>
    <w:rsid w:val="0005438D"/>
    <w:rsid w:val="0005473F"/>
    <w:rsid w:val="00066785"/>
    <w:rsid w:val="000B698F"/>
    <w:rsid w:val="000D79D5"/>
    <w:rsid w:val="000E214D"/>
    <w:rsid w:val="000F68FC"/>
    <w:rsid w:val="00114730"/>
    <w:rsid w:val="00147515"/>
    <w:rsid w:val="0014771C"/>
    <w:rsid w:val="0015602E"/>
    <w:rsid w:val="00182802"/>
    <w:rsid w:val="001930D7"/>
    <w:rsid w:val="001A44FB"/>
    <w:rsid w:val="001C6947"/>
    <w:rsid w:val="001D71BC"/>
    <w:rsid w:val="001D7898"/>
    <w:rsid w:val="001F404D"/>
    <w:rsid w:val="00206067"/>
    <w:rsid w:val="002167EC"/>
    <w:rsid w:val="002210F8"/>
    <w:rsid w:val="00245E3B"/>
    <w:rsid w:val="00247C05"/>
    <w:rsid w:val="0026052D"/>
    <w:rsid w:val="00264869"/>
    <w:rsid w:val="002739AA"/>
    <w:rsid w:val="00274EEE"/>
    <w:rsid w:val="002766B4"/>
    <w:rsid w:val="00277E72"/>
    <w:rsid w:val="00285BDC"/>
    <w:rsid w:val="002A216A"/>
    <w:rsid w:val="002B0487"/>
    <w:rsid w:val="002B140F"/>
    <w:rsid w:val="002B647E"/>
    <w:rsid w:val="002C257F"/>
    <w:rsid w:val="002C503D"/>
    <w:rsid w:val="002E70A7"/>
    <w:rsid w:val="00316A0A"/>
    <w:rsid w:val="00320C55"/>
    <w:rsid w:val="00321B32"/>
    <w:rsid w:val="003345A9"/>
    <w:rsid w:val="0033736D"/>
    <w:rsid w:val="00350807"/>
    <w:rsid w:val="0038390F"/>
    <w:rsid w:val="003A1994"/>
    <w:rsid w:val="003A3932"/>
    <w:rsid w:val="003B1CF6"/>
    <w:rsid w:val="003B3EEB"/>
    <w:rsid w:val="00406740"/>
    <w:rsid w:val="004149B9"/>
    <w:rsid w:val="0041510C"/>
    <w:rsid w:val="00476C59"/>
    <w:rsid w:val="004B0599"/>
    <w:rsid w:val="004F226B"/>
    <w:rsid w:val="00544614"/>
    <w:rsid w:val="00564BBE"/>
    <w:rsid w:val="005874F9"/>
    <w:rsid w:val="005B46B1"/>
    <w:rsid w:val="005C59C5"/>
    <w:rsid w:val="005D2265"/>
    <w:rsid w:val="005D280D"/>
    <w:rsid w:val="00600E04"/>
    <w:rsid w:val="00604A04"/>
    <w:rsid w:val="006272EE"/>
    <w:rsid w:val="00666717"/>
    <w:rsid w:val="006A2B62"/>
    <w:rsid w:val="006B7DE9"/>
    <w:rsid w:val="006D6E62"/>
    <w:rsid w:val="0070361B"/>
    <w:rsid w:val="007058D3"/>
    <w:rsid w:val="00730CF4"/>
    <w:rsid w:val="0073174A"/>
    <w:rsid w:val="00762F92"/>
    <w:rsid w:val="00777362"/>
    <w:rsid w:val="00780855"/>
    <w:rsid w:val="007823A7"/>
    <w:rsid w:val="007852BD"/>
    <w:rsid w:val="007B44C8"/>
    <w:rsid w:val="007B63B5"/>
    <w:rsid w:val="007F6631"/>
    <w:rsid w:val="00810AFF"/>
    <w:rsid w:val="008135B2"/>
    <w:rsid w:val="00815144"/>
    <w:rsid w:val="00841782"/>
    <w:rsid w:val="00841D11"/>
    <w:rsid w:val="008600B7"/>
    <w:rsid w:val="008C66C2"/>
    <w:rsid w:val="00920756"/>
    <w:rsid w:val="0093151D"/>
    <w:rsid w:val="00934B78"/>
    <w:rsid w:val="00943FA4"/>
    <w:rsid w:val="00960326"/>
    <w:rsid w:val="00963F7B"/>
    <w:rsid w:val="00967FA6"/>
    <w:rsid w:val="00975AAA"/>
    <w:rsid w:val="009809C5"/>
    <w:rsid w:val="009A506D"/>
    <w:rsid w:val="009B4EA9"/>
    <w:rsid w:val="009D014B"/>
    <w:rsid w:val="009D3FF1"/>
    <w:rsid w:val="009E4CA8"/>
    <w:rsid w:val="009F6990"/>
    <w:rsid w:val="00A1115C"/>
    <w:rsid w:val="00A472D1"/>
    <w:rsid w:val="00A5398A"/>
    <w:rsid w:val="00A6372D"/>
    <w:rsid w:val="00A6589F"/>
    <w:rsid w:val="00A65EE4"/>
    <w:rsid w:val="00A73012"/>
    <w:rsid w:val="00AA279C"/>
    <w:rsid w:val="00AA4D2B"/>
    <w:rsid w:val="00AD404A"/>
    <w:rsid w:val="00AD4A54"/>
    <w:rsid w:val="00AE33DE"/>
    <w:rsid w:val="00AF0ADF"/>
    <w:rsid w:val="00B01A26"/>
    <w:rsid w:val="00B172B4"/>
    <w:rsid w:val="00B242F7"/>
    <w:rsid w:val="00B307A1"/>
    <w:rsid w:val="00B450FC"/>
    <w:rsid w:val="00B573DD"/>
    <w:rsid w:val="00B64073"/>
    <w:rsid w:val="00B65326"/>
    <w:rsid w:val="00B67939"/>
    <w:rsid w:val="00B85890"/>
    <w:rsid w:val="00BB09D2"/>
    <w:rsid w:val="00BB29AC"/>
    <w:rsid w:val="00BC045B"/>
    <w:rsid w:val="00BD04D6"/>
    <w:rsid w:val="00BD6C8E"/>
    <w:rsid w:val="00C0485D"/>
    <w:rsid w:val="00C4428A"/>
    <w:rsid w:val="00C51667"/>
    <w:rsid w:val="00C6642E"/>
    <w:rsid w:val="00C800FA"/>
    <w:rsid w:val="00C8531F"/>
    <w:rsid w:val="00C87360"/>
    <w:rsid w:val="00CD1199"/>
    <w:rsid w:val="00D034B4"/>
    <w:rsid w:val="00D10268"/>
    <w:rsid w:val="00D25673"/>
    <w:rsid w:val="00D27044"/>
    <w:rsid w:val="00D47EE2"/>
    <w:rsid w:val="00D51E4C"/>
    <w:rsid w:val="00D54484"/>
    <w:rsid w:val="00D6191B"/>
    <w:rsid w:val="00D65C4E"/>
    <w:rsid w:val="00D8553D"/>
    <w:rsid w:val="00D937BA"/>
    <w:rsid w:val="00DD4D10"/>
    <w:rsid w:val="00E06621"/>
    <w:rsid w:val="00E32B52"/>
    <w:rsid w:val="00E37092"/>
    <w:rsid w:val="00E45E5E"/>
    <w:rsid w:val="00E545CD"/>
    <w:rsid w:val="00E7312F"/>
    <w:rsid w:val="00EA5559"/>
    <w:rsid w:val="00EC619C"/>
    <w:rsid w:val="00ED54D4"/>
    <w:rsid w:val="00ED5C6F"/>
    <w:rsid w:val="00EE1E57"/>
    <w:rsid w:val="00EF3771"/>
    <w:rsid w:val="00F51054"/>
    <w:rsid w:val="00F92463"/>
    <w:rsid w:val="00FB5B88"/>
    <w:rsid w:val="00FD6C5C"/>
    <w:rsid w:val="00FD7A6B"/>
    <w:rsid w:val="00FE7286"/>
    <w:rsid w:val="00FF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B69E9B3-6FC7-4CD5-8717-E580F374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484"/>
    <w:rPr>
      <w:sz w:val="24"/>
      <w:szCs w:val="24"/>
      <w:lang w:val="uk-UA" w:eastAsia="uk-UA"/>
    </w:rPr>
  </w:style>
  <w:style w:type="paragraph" w:styleId="3">
    <w:name w:val="heading 3"/>
    <w:basedOn w:val="a"/>
    <w:next w:val="a"/>
    <w:link w:val="30"/>
    <w:qFormat/>
    <w:locked/>
    <w:rsid w:val="00EE1E57"/>
    <w:pPr>
      <w:keepNext/>
      <w:tabs>
        <w:tab w:val="left" w:pos="426"/>
      </w:tabs>
      <w:jc w:val="both"/>
      <w:outlineLvl w:val="2"/>
    </w:pPr>
    <w:rPr>
      <w:szCs w:val="20"/>
      <w:lang w:val="en-US" w:eastAsia="en-US"/>
    </w:rPr>
  </w:style>
  <w:style w:type="paragraph" w:styleId="4">
    <w:name w:val="heading 4"/>
    <w:basedOn w:val="a"/>
    <w:next w:val="a"/>
    <w:link w:val="40"/>
    <w:semiHidden/>
    <w:unhideWhenUsed/>
    <w:qFormat/>
    <w:locked/>
    <w:rsid w:val="002739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0807"/>
    <w:pPr>
      <w:tabs>
        <w:tab w:val="center" w:pos="4819"/>
        <w:tab w:val="right" w:pos="9639"/>
      </w:tabs>
    </w:pPr>
  </w:style>
  <w:style w:type="paragraph" w:styleId="a5">
    <w:name w:val="header"/>
    <w:basedOn w:val="a"/>
    <w:rsid w:val="00033D59"/>
    <w:pPr>
      <w:tabs>
        <w:tab w:val="center" w:pos="4819"/>
        <w:tab w:val="right" w:pos="9639"/>
      </w:tabs>
    </w:pPr>
  </w:style>
  <w:style w:type="character" w:styleId="a6">
    <w:name w:val="Hyperlink"/>
    <w:rsid w:val="00B67939"/>
    <w:rPr>
      <w:rFonts w:cs="Times New Roman"/>
      <w:color w:val="0000FF"/>
      <w:u w:val="single"/>
    </w:rPr>
  </w:style>
  <w:style w:type="table" w:styleId="a7">
    <w:name w:val="Table Grid"/>
    <w:basedOn w:val="a1"/>
    <w:rsid w:val="0041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666717"/>
    <w:rPr>
      <w:rFonts w:ascii="Tahoma" w:hAnsi="Tahoma" w:cs="Tahoma"/>
      <w:sz w:val="16"/>
      <w:szCs w:val="16"/>
    </w:rPr>
  </w:style>
  <w:style w:type="character" w:customStyle="1" w:styleId="a9">
    <w:name w:val="Текст выноски Знак"/>
    <w:link w:val="a8"/>
    <w:locked/>
    <w:rsid w:val="00666717"/>
    <w:rPr>
      <w:rFonts w:ascii="Tahoma" w:hAnsi="Tahoma" w:cs="Tahoma"/>
      <w:sz w:val="16"/>
      <w:szCs w:val="16"/>
      <w:lang w:val="uk-UA" w:eastAsia="uk-UA"/>
    </w:rPr>
  </w:style>
  <w:style w:type="paragraph" w:styleId="aa">
    <w:name w:val="Normal (Web)"/>
    <w:basedOn w:val="a"/>
    <w:rsid w:val="009D014B"/>
    <w:pPr>
      <w:spacing w:before="100" w:beforeAutospacing="1" w:after="100" w:afterAutospacing="1"/>
    </w:pPr>
  </w:style>
  <w:style w:type="paragraph" w:customStyle="1" w:styleId="1">
    <w:name w:val="Абзац списка1"/>
    <w:basedOn w:val="a"/>
    <w:rsid w:val="00D47EE2"/>
    <w:pPr>
      <w:ind w:left="720"/>
    </w:pPr>
  </w:style>
  <w:style w:type="table" w:styleId="ab">
    <w:name w:val="Table Elegant"/>
    <w:basedOn w:val="a1"/>
    <w:rsid w:val="007317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EE1E57"/>
    <w:rPr>
      <w:sz w:val="24"/>
      <w:lang w:val="en-US" w:eastAsia="en-US"/>
    </w:rPr>
  </w:style>
  <w:style w:type="character" w:customStyle="1" w:styleId="a4">
    <w:name w:val="Нижний колонтитул Знак"/>
    <w:link w:val="a3"/>
    <w:uiPriority w:val="99"/>
    <w:rsid w:val="00EE1E57"/>
    <w:rPr>
      <w:sz w:val="24"/>
      <w:szCs w:val="24"/>
      <w:lang w:val="uk-UA" w:eastAsia="uk-UA"/>
    </w:rPr>
  </w:style>
  <w:style w:type="paragraph" w:customStyle="1" w:styleId="10">
    <w:name w:val="Стиль1"/>
    <w:basedOn w:val="a"/>
    <w:qFormat/>
    <w:rsid w:val="00B450FC"/>
    <w:pPr>
      <w:keepNext/>
      <w:keepLines/>
      <w:spacing w:after="120"/>
      <w:jc w:val="both"/>
      <w:outlineLvl w:val="2"/>
    </w:pPr>
    <w:rPr>
      <w:rFonts w:asciiTheme="majorHAnsi" w:hAnsiTheme="majorHAnsi"/>
      <w:sz w:val="18"/>
      <w:szCs w:val="18"/>
      <w:lang w:val="en-US"/>
    </w:rPr>
  </w:style>
  <w:style w:type="character" w:customStyle="1" w:styleId="40">
    <w:name w:val="Заголовок 4 Знак"/>
    <w:basedOn w:val="a0"/>
    <w:link w:val="4"/>
    <w:semiHidden/>
    <w:rsid w:val="002739AA"/>
    <w:rPr>
      <w:rFonts w:asciiTheme="majorHAnsi" w:eastAsiaTheme="majorEastAsia" w:hAnsiTheme="majorHAnsi" w:cstheme="majorBidi"/>
      <w:i/>
      <w:iCs/>
      <w:color w:val="365F91" w:themeColor="accent1" w:themeShade="B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487">
      <w:bodyDiv w:val="1"/>
      <w:marLeft w:val="0"/>
      <w:marRight w:val="0"/>
      <w:marTop w:val="0"/>
      <w:marBottom w:val="0"/>
      <w:divBdr>
        <w:top w:val="none" w:sz="0" w:space="0" w:color="auto"/>
        <w:left w:val="none" w:sz="0" w:space="0" w:color="auto"/>
        <w:bottom w:val="none" w:sz="0" w:space="0" w:color="auto"/>
        <w:right w:val="none" w:sz="0" w:space="0" w:color="auto"/>
      </w:divBdr>
    </w:div>
    <w:div w:id="236403511">
      <w:bodyDiv w:val="1"/>
      <w:marLeft w:val="0"/>
      <w:marRight w:val="0"/>
      <w:marTop w:val="0"/>
      <w:marBottom w:val="0"/>
      <w:divBdr>
        <w:top w:val="none" w:sz="0" w:space="0" w:color="auto"/>
        <w:left w:val="none" w:sz="0" w:space="0" w:color="auto"/>
        <w:bottom w:val="none" w:sz="0" w:space="0" w:color="auto"/>
        <w:right w:val="none" w:sz="0" w:space="0" w:color="auto"/>
      </w:divBdr>
    </w:div>
    <w:div w:id="997080122">
      <w:bodyDiv w:val="1"/>
      <w:marLeft w:val="0"/>
      <w:marRight w:val="0"/>
      <w:marTop w:val="0"/>
      <w:marBottom w:val="0"/>
      <w:divBdr>
        <w:top w:val="none" w:sz="0" w:space="0" w:color="auto"/>
        <w:left w:val="none" w:sz="0" w:space="0" w:color="auto"/>
        <w:bottom w:val="none" w:sz="0" w:space="0" w:color="auto"/>
        <w:right w:val="none" w:sz="0" w:space="0" w:color="auto"/>
      </w:divBdr>
    </w:div>
    <w:div w:id="1012492012">
      <w:bodyDiv w:val="1"/>
      <w:marLeft w:val="0"/>
      <w:marRight w:val="0"/>
      <w:marTop w:val="0"/>
      <w:marBottom w:val="0"/>
      <w:divBdr>
        <w:top w:val="none" w:sz="0" w:space="0" w:color="auto"/>
        <w:left w:val="none" w:sz="0" w:space="0" w:color="auto"/>
        <w:bottom w:val="none" w:sz="0" w:space="0" w:color="auto"/>
        <w:right w:val="none" w:sz="0" w:space="0" w:color="auto"/>
      </w:divBdr>
    </w:div>
    <w:div w:id="1347823944">
      <w:bodyDiv w:val="1"/>
      <w:marLeft w:val="0"/>
      <w:marRight w:val="0"/>
      <w:marTop w:val="0"/>
      <w:marBottom w:val="0"/>
      <w:divBdr>
        <w:top w:val="none" w:sz="0" w:space="0" w:color="auto"/>
        <w:left w:val="none" w:sz="0" w:space="0" w:color="auto"/>
        <w:bottom w:val="none" w:sz="0" w:space="0" w:color="auto"/>
        <w:right w:val="none" w:sz="0" w:space="0" w:color="auto"/>
      </w:divBdr>
      <w:divsChild>
        <w:div w:id="1846896643">
          <w:marLeft w:val="0"/>
          <w:marRight w:val="0"/>
          <w:marTop w:val="0"/>
          <w:marBottom w:val="0"/>
          <w:divBdr>
            <w:top w:val="none" w:sz="0" w:space="0" w:color="auto"/>
            <w:left w:val="none" w:sz="0" w:space="0" w:color="auto"/>
            <w:bottom w:val="none" w:sz="0" w:space="0" w:color="auto"/>
            <w:right w:val="none" w:sz="0" w:space="0" w:color="auto"/>
          </w:divBdr>
        </w:div>
        <w:div w:id="1590383091">
          <w:marLeft w:val="0"/>
          <w:marRight w:val="0"/>
          <w:marTop w:val="0"/>
          <w:marBottom w:val="0"/>
          <w:divBdr>
            <w:top w:val="none" w:sz="0" w:space="0" w:color="auto"/>
            <w:left w:val="none" w:sz="0" w:space="0" w:color="auto"/>
            <w:bottom w:val="none" w:sz="0" w:space="0" w:color="auto"/>
            <w:right w:val="none" w:sz="0" w:space="0" w:color="auto"/>
          </w:divBdr>
        </w:div>
        <w:div w:id="3435659">
          <w:marLeft w:val="0"/>
          <w:marRight w:val="0"/>
          <w:marTop w:val="0"/>
          <w:marBottom w:val="0"/>
          <w:divBdr>
            <w:top w:val="none" w:sz="0" w:space="0" w:color="auto"/>
            <w:left w:val="none" w:sz="0" w:space="0" w:color="auto"/>
            <w:bottom w:val="none" w:sz="0" w:space="0" w:color="auto"/>
            <w:right w:val="none" w:sz="0" w:space="0" w:color="auto"/>
          </w:divBdr>
        </w:div>
        <w:div w:id="1264995884">
          <w:marLeft w:val="0"/>
          <w:marRight w:val="0"/>
          <w:marTop w:val="0"/>
          <w:marBottom w:val="0"/>
          <w:divBdr>
            <w:top w:val="none" w:sz="0" w:space="0" w:color="auto"/>
            <w:left w:val="none" w:sz="0" w:space="0" w:color="auto"/>
            <w:bottom w:val="none" w:sz="0" w:space="0" w:color="auto"/>
            <w:right w:val="none" w:sz="0" w:space="0" w:color="auto"/>
          </w:divBdr>
        </w:div>
        <w:div w:id="129707723">
          <w:marLeft w:val="0"/>
          <w:marRight w:val="0"/>
          <w:marTop w:val="0"/>
          <w:marBottom w:val="0"/>
          <w:divBdr>
            <w:top w:val="none" w:sz="0" w:space="0" w:color="auto"/>
            <w:left w:val="none" w:sz="0" w:space="0" w:color="auto"/>
            <w:bottom w:val="none" w:sz="0" w:space="0" w:color="auto"/>
            <w:right w:val="none" w:sz="0" w:space="0" w:color="auto"/>
          </w:divBdr>
        </w:div>
        <w:div w:id="1080442713">
          <w:marLeft w:val="0"/>
          <w:marRight w:val="0"/>
          <w:marTop w:val="0"/>
          <w:marBottom w:val="0"/>
          <w:divBdr>
            <w:top w:val="none" w:sz="0" w:space="0" w:color="auto"/>
            <w:left w:val="none" w:sz="0" w:space="0" w:color="auto"/>
            <w:bottom w:val="none" w:sz="0" w:space="0" w:color="auto"/>
            <w:right w:val="none" w:sz="0" w:space="0" w:color="auto"/>
          </w:divBdr>
        </w:div>
      </w:divsChild>
    </w:div>
    <w:div w:id="16669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ecuo.org/ru/ecuo/advocacy/ecca-cab/" TargetMode="External"/><Relationship Id="rId1" Type="http://schemas.openxmlformats.org/officeDocument/2006/relationships/hyperlink" Target="http://itpcru.org/eecaca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0B91-3B3F-4592-9D7A-0C8E314A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Org</Company>
  <LinksUpToDate>false</LinksUpToDate>
  <CharactersWithSpaces>5978</CharactersWithSpaces>
  <SharedDoc>false</SharedDoc>
  <HLinks>
    <vt:vector size="6" baseType="variant">
      <vt:variant>
        <vt:i4>6488131</vt:i4>
      </vt:variant>
      <vt:variant>
        <vt:i4>0</vt:i4>
      </vt:variant>
      <vt:variant>
        <vt:i4>0</vt:i4>
      </vt:variant>
      <vt:variant>
        <vt:i4>5</vt:i4>
      </vt:variant>
      <vt:variant>
        <vt:lpwstr>mailto:eduenas@medicinespatentpool.org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Medyk</dc:creator>
  <cp:lastModifiedBy>Alexandra Volgina</cp:lastModifiedBy>
  <cp:revision>6</cp:revision>
  <cp:lastPrinted>2014-09-09T08:04:00Z</cp:lastPrinted>
  <dcterms:created xsi:type="dcterms:W3CDTF">2015-03-11T11:26:00Z</dcterms:created>
  <dcterms:modified xsi:type="dcterms:W3CDTF">2015-03-13T10:01:00Z</dcterms:modified>
</cp:coreProperties>
</file>