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57" w:rsidRPr="00D2565E" w:rsidRDefault="00EE1E57" w:rsidP="00D2565E">
      <w:pPr>
        <w:jc w:val="both"/>
        <w:rPr>
          <w:rFonts w:asciiTheme="minorHAnsi" w:hAnsiTheme="minorHAnsi"/>
          <w:sz w:val="16"/>
          <w:szCs w:val="1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6"/>
        <w:gridCol w:w="5785"/>
      </w:tblGrid>
      <w:tr w:rsidR="00EE1E57" w:rsidRPr="00D2565E" w:rsidTr="002161CD">
        <w:tc>
          <w:tcPr>
            <w:tcW w:w="3786" w:type="dxa"/>
          </w:tcPr>
          <w:p w:rsidR="00EE1E57" w:rsidRPr="00D2565E" w:rsidRDefault="005313CA" w:rsidP="00D2565E">
            <w:pPr>
              <w:jc w:val="both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proofErr w:type="gramStart"/>
            <w:r>
              <w:rPr>
                <w:rFonts w:asciiTheme="minorHAnsi" w:hAnsiTheme="minorHAnsi"/>
                <w:i/>
                <w:sz w:val="16"/>
                <w:szCs w:val="16"/>
                <w:lang w:val="ru-RU"/>
              </w:rPr>
              <w:t>Март</w:t>
            </w:r>
            <w:r w:rsidR="00993152">
              <w:rPr>
                <w:rFonts w:asciiTheme="minorHAnsi" w:hAnsiTheme="minorHAnsi"/>
                <w:i/>
                <w:sz w:val="16"/>
                <w:szCs w:val="16"/>
                <w:lang w:val="ru-RU"/>
              </w:rPr>
              <w:t xml:space="preserve"> </w:t>
            </w:r>
            <w:r w:rsidR="0033736D" w:rsidRPr="00D2565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,</w:t>
            </w:r>
            <w:proofErr w:type="gramEnd"/>
            <w:r w:rsidR="0033736D" w:rsidRPr="00D2565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1</w:t>
            </w:r>
            <w:r w:rsidR="002161CD">
              <w:rPr>
                <w:rFonts w:asciiTheme="minorHAnsi" w:hAnsiTheme="minorHAnsi"/>
                <w:i/>
                <w:sz w:val="16"/>
                <w:szCs w:val="16"/>
                <w:lang w:val="ru-RU"/>
              </w:rPr>
              <w:t>3</w:t>
            </w:r>
            <w:r w:rsidR="0033736D" w:rsidRPr="00D2565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, 2014</w:t>
            </w:r>
          </w:p>
          <w:p w:rsidR="00EE1E57" w:rsidRPr="00D2565E" w:rsidRDefault="00EE1E57" w:rsidP="00D2565E">
            <w:pPr>
              <w:jc w:val="both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5785" w:type="dxa"/>
          </w:tcPr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>Кеннет С. Фрейзер</w:t>
            </w:r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>Председатель Правления,</w:t>
            </w:r>
          </w:p>
          <w:p w:rsidR="004F4193" w:rsidRPr="004F4193" w:rsidRDefault="00971185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Президент и главный Исполнительный Д</w:t>
            </w:r>
            <w:r w:rsidR="004F4193" w:rsidRPr="004F4193">
              <w:rPr>
                <w:rFonts w:asciiTheme="minorHAnsi" w:hAnsiTheme="minorHAnsi"/>
                <w:sz w:val="16"/>
                <w:szCs w:val="16"/>
                <w:lang w:val="ru-RU"/>
              </w:rPr>
              <w:t>иректор</w:t>
            </w:r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en-US"/>
              </w:rPr>
              <w:t>Merck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&amp; </w:t>
            </w:r>
            <w:r w:rsidRPr="004F4193">
              <w:rPr>
                <w:rFonts w:asciiTheme="minorHAnsi" w:hAnsiTheme="minorHAnsi"/>
                <w:sz w:val="16"/>
                <w:szCs w:val="16"/>
                <w:lang w:val="en-US"/>
              </w:rPr>
              <w:t>Co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4F4193">
              <w:rPr>
                <w:rFonts w:asciiTheme="minorHAnsi" w:hAnsiTheme="minorHAnsi"/>
                <w:sz w:val="16"/>
                <w:szCs w:val="16"/>
                <w:lang w:val="en-US"/>
              </w:rPr>
              <w:t>Inc</w:t>
            </w:r>
            <w:proofErr w:type="spellEnd"/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  <w:lang w:val="ru-RU"/>
              </w:rPr>
              <w:t>Пол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>Шапер</w:t>
            </w:r>
            <w:proofErr w:type="spellEnd"/>
            <w:proofErr w:type="gramEnd"/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>Исполнительный директор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отдела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глобальной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политики</w:t>
            </w:r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en-US"/>
              </w:rPr>
              <w:t>Merck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| </w:t>
            </w:r>
            <w:r w:rsidRPr="004F4193">
              <w:rPr>
                <w:rFonts w:asciiTheme="minorHAnsi" w:hAnsiTheme="minorHAnsi"/>
                <w:sz w:val="16"/>
                <w:szCs w:val="16"/>
                <w:lang w:val="en-US"/>
              </w:rPr>
              <w:t>MSD</w:t>
            </w:r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601 </w:t>
            </w:r>
            <w:r w:rsidRPr="004F4193">
              <w:rPr>
                <w:rFonts w:asciiTheme="minorHAnsi" w:hAnsiTheme="minorHAnsi"/>
                <w:sz w:val="16"/>
                <w:szCs w:val="16"/>
                <w:lang w:val="en-US"/>
              </w:rPr>
              <w:t>Pennsylvania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4F4193">
              <w:rPr>
                <w:rFonts w:asciiTheme="minorHAnsi" w:hAnsiTheme="minorHAnsi"/>
                <w:sz w:val="16"/>
                <w:szCs w:val="16"/>
                <w:lang w:val="en-US"/>
              </w:rPr>
              <w:t>Ave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4F4193">
              <w:rPr>
                <w:rFonts w:asciiTheme="minorHAnsi" w:hAnsiTheme="minorHAnsi"/>
                <w:sz w:val="16"/>
                <w:szCs w:val="16"/>
                <w:lang w:val="en-US"/>
              </w:rPr>
              <w:t>NW</w:t>
            </w:r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>Северный корпус, офис 1200</w:t>
            </w:r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>Вашингтон, округ Колумбия 20004</w:t>
            </w:r>
          </w:p>
          <w:p w:rsidR="00B21223" w:rsidRPr="00B21223" w:rsidRDefault="00B21223" w:rsidP="00B2122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21223">
              <w:rPr>
                <w:rFonts w:asciiTheme="minorHAnsi" w:hAnsiTheme="minorHAnsi"/>
                <w:sz w:val="16"/>
                <w:szCs w:val="16"/>
                <w:lang w:val="ru-RU"/>
              </w:rPr>
              <w:t>Татьяна Билык</w:t>
            </w:r>
          </w:p>
          <w:p w:rsidR="00B21223" w:rsidRPr="00B21223" w:rsidRDefault="00B21223" w:rsidP="00B2122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21223">
              <w:rPr>
                <w:rFonts w:asciiTheme="minorHAnsi" w:hAnsiTheme="minorHAnsi"/>
                <w:sz w:val="16"/>
                <w:szCs w:val="16"/>
                <w:lang w:val="ru-RU"/>
              </w:rPr>
              <w:t>Ведущий</w:t>
            </w:r>
            <w:r w:rsidRPr="00B2122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специалист по внешним связям</w:t>
            </w:r>
          </w:p>
          <w:p w:rsidR="00B21223" w:rsidRDefault="00B21223" w:rsidP="00B2122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B2122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Украины и стран СНГ</w:t>
            </w:r>
          </w:p>
          <w:p w:rsidR="00B21223" w:rsidRDefault="00B21223" w:rsidP="00B2122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Ильдар </w:t>
            </w:r>
            <w:proofErr w:type="spellStart"/>
            <w:r>
              <w:rPr>
                <w:rFonts w:asciiTheme="minorHAnsi" w:hAnsiTheme="minorHAnsi"/>
                <w:sz w:val="16"/>
                <w:szCs w:val="16"/>
                <w:lang w:val="ru-RU"/>
              </w:rPr>
              <w:t>Сейтягьяев</w:t>
            </w:r>
            <w:proofErr w:type="spellEnd"/>
            <w:r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</w:p>
          <w:p w:rsidR="004F4193" w:rsidRPr="00D26816" w:rsidRDefault="00B21223" w:rsidP="00B2122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Генеральный директор</w:t>
            </w:r>
          </w:p>
          <w:p w:rsidR="004F4193" w:rsidRPr="00D26816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en-US"/>
              </w:rPr>
              <w:t>MSD</w:t>
            </w:r>
            <w:r w:rsidRPr="00D26816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Украины, ООО</w:t>
            </w:r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3-й этаж,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Горизонт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Бизнес-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центр</w:t>
            </w:r>
          </w:p>
          <w:p w:rsidR="004F4193" w:rsidRPr="004F4193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12 Амосова </w:t>
            </w:r>
            <w:r>
              <w:rPr>
                <w:rFonts w:asciiTheme="minorHAnsi" w:hAnsiTheme="minorHAnsi"/>
                <w:sz w:val="16"/>
                <w:szCs w:val="16"/>
                <w:lang w:val="ru-RU"/>
              </w:rPr>
              <w:t>улица</w:t>
            </w:r>
            <w:r w:rsidRPr="004F4193">
              <w:rPr>
                <w:rFonts w:asciiTheme="minorHAnsi" w:hAnsiTheme="minorHAnsi"/>
                <w:sz w:val="16"/>
                <w:szCs w:val="16"/>
                <w:lang w:val="ru-RU"/>
              </w:rPr>
              <w:t>, Киев, 03680</w:t>
            </w:r>
          </w:p>
          <w:p w:rsidR="004F4193" w:rsidRPr="00D26816" w:rsidRDefault="004F4193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D26816">
              <w:rPr>
                <w:rFonts w:asciiTheme="minorHAnsi" w:hAnsiTheme="minorHAnsi"/>
                <w:sz w:val="16"/>
                <w:szCs w:val="16"/>
                <w:lang w:val="ru-RU"/>
              </w:rPr>
              <w:t>Украина</w:t>
            </w:r>
          </w:p>
          <w:p w:rsidR="00EE1E57" w:rsidRPr="00D26816" w:rsidRDefault="00EE1E57" w:rsidP="004F4193">
            <w:pPr>
              <w:jc w:val="right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>Уважаемые господа,</w:t>
      </w:r>
      <w:bookmarkStart w:id="0" w:name="_GoBack"/>
      <w:bookmarkEnd w:id="0"/>
    </w:p>
    <w:p w:rsid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991336" w:rsidRPr="002161CD" w:rsidRDefault="00991336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>Мы обращаемся к Вам с данным письмом от имени Консультативного совета сообщества Восточной Европы и Центральной Азии (ВЕЦА КАБ), который был основан в 2009 году Международной коалицией по готовности к лечению в Восточной Европе и Центральной Азии (ITPCru) и Восточноевропейским и Центральноазиатским объединением ЛЖВ (ECUO).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>ВЕЦА КАБ объединяет активистов за доступ к лечению из следующих стран региона ВЕЦА: Азербайджан, Армения, Беларусь, Грузия, Казахстан, Кыргызстан, Латвия, Литва, Молдова, Россия, Таджикистан, Украина, Узбекистан и Эстония.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 xml:space="preserve">Исходя из опыта расширения доступа к жизненно важному лечению ВИЧ, мы можем с уверенностью сказать, что присутствие </w:t>
      </w:r>
      <w:proofErr w:type="spellStart"/>
      <w:r w:rsidRPr="002161CD">
        <w:rPr>
          <w:rFonts w:asciiTheme="majorHAnsi" w:hAnsiTheme="majorHAnsi"/>
          <w:sz w:val="16"/>
          <w:lang w:val="ru-RU"/>
        </w:rPr>
        <w:t>генериков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на рынке является критически важным элементом достижения устойчиво низких цен, которые доступны правительствам и международным донорам, поддерживающим программы лечения ВИЧ-инфекции в нашем регионе.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 xml:space="preserve">24 февраля 2015 года Патентный пул лекарственных средств объявил о включении в географический охват лицензионного соглашения с компанией </w:t>
      </w:r>
      <w:proofErr w:type="spellStart"/>
      <w:r w:rsidRPr="002161CD">
        <w:rPr>
          <w:rFonts w:asciiTheme="majorHAnsi" w:hAnsiTheme="majorHAnsi"/>
          <w:sz w:val="16"/>
          <w:lang w:val="ru-RU"/>
        </w:rPr>
        <w:t>Merck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</w:t>
      </w:r>
      <w:proofErr w:type="spellStart"/>
      <w:r w:rsidRPr="002161CD">
        <w:rPr>
          <w:rFonts w:asciiTheme="majorHAnsi" w:hAnsiTheme="majorHAnsi"/>
          <w:sz w:val="16"/>
          <w:lang w:val="ru-RU"/>
        </w:rPr>
        <w:t>Sharp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&amp; </w:t>
      </w:r>
      <w:proofErr w:type="spellStart"/>
      <w:r w:rsidRPr="002161CD">
        <w:rPr>
          <w:rFonts w:asciiTheme="majorHAnsi" w:hAnsiTheme="majorHAnsi"/>
          <w:sz w:val="16"/>
          <w:lang w:val="ru-RU"/>
        </w:rPr>
        <w:t>Dohme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</w:t>
      </w:r>
      <w:proofErr w:type="spellStart"/>
      <w:r w:rsidRPr="002161CD">
        <w:rPr>
          <w:rFonts w:asciiTheme="majorHAnsi" w:hAnsiTheme="majorHAnsi"/>
          <w:sz w:val="16"/>
          <w:lang w:val="ru-RU"/>
        </w:rPr>
        <w:t>Corp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. </w:t>
      </w:r>
      <w:proofErr w:type="spellStart"/>
      <w:r w:rsidRPr="002161CD">
        <w:rPr>
          <w:rFonts w:asciiTheme="majorHAnsi" w:hAnsiTheme="majorHAnsi"/>
          <w:sz w:val="16"/>
          <w:lang w:val="ru-RU"/>
        </w:rPr>
        <w:t>and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MSD </w:t>
      </w:r>
      <w:proofErr w:type="spellStart"/>
      <w:r w:rsidRPr="002161CD">
        <w:rPr>
          <w:rFonts w:asciiTheme="majorHAnsi" w:hAnsiTheme="majorHAnsi"/>
          <w:sz w:val="16"/>
          <w:lang w:val="ru-RU"/>
        </w:rPr>
        <w:t>Italia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</w:t>
      </w:r>
      <w:proofErr w:type="spellStart"/>
      <w:r w:rsidRPr="002161CD">
        <w:rPr>
          <w:rFonts w:asciiTheme="majorHAnsi" w:hAnsiTheme="majorHAnsi"/>
          <w:sz w:val="16"/>
          <w:lang w:val="ru-RU"/>
        </w:rPr>
        <w:t>s.r.l</w:t>
      </w:r>
      <w:proofErr w:type="spellEnd"/>
      <w:r w:rsidRPr="002161CD">
        <w:rPr>
          <w:rFonts w:asciiTheme="majorHAnsi" w:hAnsiTheme="majorHAnsi"/>
          <w:sz w:val="16"/>
          <w:lang w:val="ru-RU"/>
        </w:rPr>
        <w:t>. (</w:t>
      </w:r>
      <w:proofErr w:type="spellStart"/>
      <w:r w:rsidRPr="002161CD">
        <w:rPr>
          <w:rFonts w:asciiTheme="majorHAnsi" w:hAnsiTheme="majorHAnsi"/>
          <w:sz w:val="16"/>
          <w:lang w:val="ru-RU"/>
        </w:rPr>
        <w:t>collectively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“</w:t>
      </w:r>
      <w:proofErr w:type="spellStart"/>
      <w:r w:rsidRPr="002161CD">
        <w:rPr>
          <w:rFonts w:asciiTheme="majorHAnsi" w:hAnsiTheme="majorHAnsi"/>
          <w:sz w:val="16"/>
          <w:lang w:val="ru-RU"/>
        </w:rPr>
        <w:t>Merck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”) по педиатрическому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ралтегравиру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таких стран региона ВЕЦА, как Украина, Армения, Грузия, Молдова, Таджикистан, Кыргызстан и Узбекистан. Лицензия разрешает импорт детских форм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ралтегравира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по сублицензии от Патентного пула.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 xml:space="preserve">С одной стороны, ВЕЦА КАБ приветствует решение компании о включении стран нашего региона в географическое покрытие лицензии. Мы ценим то, что компания </w:t>
      </w:r>
      <w:proofErr w:type="spellStart"/>
      <w:r w:rsidRPr="002161CD">
        <w:rPr>
          <w:rFonts w:asciiTheme="majorHAnsi" w:hAnsiTheme="majorHAnsi"/>
          <w:sz w:val="16"/>
          <w:lang w:val="ru-RU"/>
        </w:rPr>
        <w:t>Merck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проявляет заботу о детях региона ВЕЦА, список лечебных опций для которых ограничен, и для которых доступ к таким препаратам, как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>, является критически важным.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D26816">
        <w:rPr>
          <w:rFonts w:asciiTheme="majorHAnsi" w:hAnsiTheme="majorHAnsi"/>
          <w:b/>
          <w:sz w:val="16"/>
          <w:lang w:val="ru-RU"/>
        </w:rPr>
        <w:t>Тем не менее, на практике включение этих 7 стран в географический охват лицензии в ближайшей перспективе не приведет к реальному расширению доступа к лечению.</w:t>
      </w:r>
      <w:r w:rsidRPr="002161CD">
        <w:rPr>
          <w:rFonts w:asciiTheme="majorHAnsi" w:hAnsiTheme="majorHAnsi"/>
          <w:sz w:val="16"/>
          <w:lang w:val="ru-RU"/>
        </w:rPr>
        <w:t xml:space="preserve"> Ниже приведено обоснование, основанное на анализе текущей доступности препарата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в странах ВЕЦА.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D26816">
        <w:rPr>
          <w:rFonts w:asciiTheme="majorHAnsi" w:hAnsiTheme="majorHAnsi"/>
          <w:b/>
          <w:sz w:val="16"/>
          <w:lang w:val="ru-RU"/>
        </w:rPr>
        <w:t>В Украине</w:t>
      </w:r>
      <w:r w:rsidRPr="002161CD">
        <w:rPr>
          <w:rFonts w:asciiTheme="majorHAnsi" w:hAnsiTheme="majorHAnsi"/>
          <w:sz w:val="16"/>
          <w:lang w:val="ru-RU"/>
        </w:rPr>
        <w:t xml:space="preserve"> 97 человек получает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, среди </w:t>
      </w:r>
      <w:r w:rsidRPr="00D26816">
        <w:rPr>
          <w:rFonts w:asciiTheme="majorHAnsi" w:hAnsiTheme="majorHAnsi"/>
          <w:b/>
          <w:sz w:val="16"/>
          <w:lang w:val="ru-RU"/>
        </w:rPr>
        <w:t>них 5 детей</w:t>
      </w:r>
      <w:r w:rsidRPr="002161CD">
        <w:rPr>
          <w:rFonts w:asciiTheme="majorHAnsi" w:hAnsiTheme="majorHAnsi"/>
          <w:sz w:val="16"/>
          <w:lang w:val="ru-RU"/>
        </w:rPr>
        <w:t xml:space="preserve">. Потребность в педиатрических формах в настоящее время слишком мала для возникновения заинтересованности в поставках этого препарата со стороны </w:t>
      </w:r>
      <w:proofErr w:type="spellStart"/>
      <w:r w:rsidRPr="002161CD">
        <w:rPr>
          <w:rFonts w:asciiTheme="majorHAnsi" w:hAnsiTheme="majorHAnsi"/>
          <w:sz w:val="16"/>
          <w:lang w:val="ru-RU"/>
        </w:rPr>
        <w:t>генерических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компаний. Также следует отметить, что педиатрические формы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ралтегравира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(жевательные таблетки и гранулы для раствора), лицензированные через соглашение, не имеют регистрации в Украине. Это мешает на практике применить в стране возможности, которые могло бы предоставить данное лицензионное соглашение.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D26816">
        <w:rPr>
          <w:rFonts w:asciiTheme="majorHAnsi" w:hAnsiTheme="majorHAnsi"/>
          <w:b/>
          <w:sz w:val="16"/>
          <w:lang w:val="ru-RU"/>
        </w:rPr>
        <w:t>Узбекистан.</w:t>
      </w:r>
      <w:r w:rsidRPr="002161CD">
        <w:rPr>
          <w:rFonts w:asciiTheme="majorHAnsi" w:hAnsiTheme="majorHAnsi"/>
          <w:sz w:val="16"/>
          <w:lang w:val="ru-RU"/>
        </w:rPr>
        <w:t xml:space="preserve"> На сегодня в стране АРВТ принимают около 4000 детей, и применение схем </w:t>
      </w:r>
      <w:proofErr w:type="gramStart"/>
      <w:r w:rsidRPr="002161CD">
        <w:rPr>
          <w:rFonts w:asciiTheme="majorHAnsi" w:hAnsiTheme="majorHAnsi"/>
          <w:sz w:val="16"/>
          <w:lang w:val="ru-RU"/>
        </w:rPr>
        <w:t xml:space="preserve">с 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ралтегравиром</w:t>
      </w:r>
      <w:proofErr w:type="spellEnd"/>
      <w:proofErr w:type="gramEnd"/>
      <w:r w:rsidRPr="002161CD">
        <w:rPr>
          <w:rFonts w:asciiTheme="majorHAnsi" w:hAnsiTheme="majorHAnsi"/>
          <w:sz w:val="16"/>
          <w:lang w:val="ru-RU"/>
        </w:rPr>
        <w:t xml:space="preserve">, которые подходят детям раннего возраста, было бы очень важным. Но, учитывая высокую стоимость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ралтегравира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, возможность закупки данного препарата даже не рассматривалась Министерством Здравоохранения Республики Узбекистан. Оценить потенциальный объем рынка на данный момент сложно, но вряд ли он будет достаточным для того, чтобы заинтересовать производителей </w:t>
      </w:r>
      <w:proofErr w:type="spellStart"/>
      <w:r w:rsidRPr="002161CD">
        <w:rPr>
          <w:rFonts w:asciiTheme="majorHAnsi" w:hAnsiTheme="majorHAnsi"/>
          <w:sz w:val="16"/>
          <w:lang w:val="ru-RU"/>
        </w:rPr>
        <w:t>генерических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препаратов.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 xml:space="preserve"> 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D26816">
        <w:rPr>
          <w:rFonts w:asciiTheme="majorHAnsi" w:hAnsiTheme="majorHAnsi"/>
          <w:b/>
          <w:sz w:val="16"/>
          <w:lang w:val="ru-RU"/>
        </w:rPr>
        <w:t>В Армении</w:t>
      </w:r>
      <w:r w:rsidRPr="002161CD">
        <w:rPr>
          <w:rFonts w:asciiTheme="majorHAnsi" w:hAnsiTheme="majorHAnsi"/>
          <w:sz w:val="16"/>
          <w:lang w:val="ru-RU"/>
        </w:rPr>
        <w:t xml:space="preserve"> на данный момент схему с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ралтегравиром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получает всего </w:t>
      </w:r>
      <w:r w:rsidRPr="00D26816">
        <w:rPr>
          <w:rFonts w:asciiTheme="majorHAnsi" w:hAnsiTheme="majorHAnsi"/>
          <w:b/>
          <w:sz w:val="16"/>
          <w:lang w:val="ru-RU"/>
        </w:rPr>
        <w:t>1 ребенок (взрослая форма)</w:t>
      </w:r>
      <w:r w:rsidRPr="002161CD">
        <w:rPr>
          <w:rFonts w:asciiTheme="majorHAnsi" w:hAnsiTheme="majorHAnsi"/>
          <w:sz w:val="16"/>
          <w:lang w:val="ru-RU"/>
        </w:rPr>
        <w:t xml:space="preserve">. В национальных протоколах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присутствует как схема II линии и рекомендуется также для первой линии. При этом препарат в стране не зарегистрирован, а его высокая стоимость даже в рамках донорских программ препятствует увеличению числа пациентов, которые могли бы получать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>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D26816">
        <w:rPr>
          <w:rFonts w:asciiTheme="majorHAnsi" w:hAnsiTheme="majorHAnsi"/>
          <w:b/>
          <w:sz w:val="16"/>
          <w:lang w:val="ru-RU"/>
        </w:rPr>
        <w:t>В Таджикистане, Молдове и Грузии</w:t>
      </w:r>
      <w:r w:rsidRPr="002161CD">
        <w:rPr>
          <w:rFonts w:asciiTheme="majorHAnsi" w:hAnsiTheme="majorHAnsi"/>
          <w:sz w:val="16"/>
          <w:lang w:val="ru-RU"/>
        </w:rPr>
        <w:t xml:space="preserve"> на сегодня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не применяется и не зарегистрирован, и, соответственно, дети не имеют доступа к препарату. Данные по доступности педиатрических форм в Кыргызстане на текущий момент отсутствуют.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 xml:space="preserve">Таким образом, в сложившихся условиях мы может говорить о </w:t>
      </w:r>
      <w:r w:rsidRPr="00D26816">
        <w:rPr>
          <w:rFonts w:asciiTheme="majorHAnsi" w:hAnsiTheme="majorHAnsi"/>
          <w:b/>
          <w:sz w:val="16"/>
          <w:lang w:val="ru-RU"/>
        </w:rPr>
        <w:t xml:space="preserve">некоей теоретической возможности расширении лечения </w:t>
      </w:r>
      <w:r w:rsidRPr="00D26816">
        <w:rPr>
          <w:rFonts w:asciiTheme="majorHAnsi" w:hAnsiTheme="majorHAnsi"/>
          <w:b/>
          <w:sz w:val="16"/>
          <w:lang w:val="ru-RU"/>
        </w:rPr>
        <w:lastRenderedPageBreak/>
        <w:t>де факто для 6 детей (в Украине и Армении),</w:t>
      </w:r>
      <w:r w:rsidRPr="002161CD">
        <w:rPr>
          <w:rFonts w:asciiTheme="majorHAnsi" w:hAnsiTheme="majorHAnsi"/>
          <w:sz w:val="16"/>
          <w:lang w:val="ru-RU"/>
        </w:rPr>
        <w:t xml:space="preserve"> и, возможно, для небольшого количества детей в Узбекистане. В целом, количество детей, получающих или могущих получать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в странах нашего региона настолько невелико, что вряд ли привлечет на рынки генерические компании. Ситуация может сильно измениться, если соглашение будет расширено, и лицензия будет предоставлена не только на детскую, но и на взрослую форму препарата. 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 xml:space="preserve">Также важно отметить, что последний год в странах региона наблюдается резкое ухудшение социально-экономической ситуации, урезание бюджетов, выделяемых на здравоохранение, а также перебои в предоставлении лечения, связанные со сворачиванием или ограничением работы программ ГФ. В создавшихся условиях такой дорогостоящий препарат, как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>, вряд ли будет включен в национальные программы по лечению, финансируемые государством. Соответственно, резкое снижение цены на препарат будет критически важным для улучшения доступа.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D26816">
        <w:rPr>
          <w:rFonts w:asciiTheme="majorHAnsi" w:hAnsiTheme="majorHAnsi"/>
          <w:b/>
          <w:sz w:val="16"/>
          <w:lang w:val="ru-RU"/>
        </w:rPr>
        <w:t xml:space="preserve">Мы обращаемся в компанию 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Merck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 xml:space="preserve"> 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Sharp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 xml:space="preserve"> &amp; 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Dohme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 xml:space="preserve"> 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Corp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 xml:space="preserve">. 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and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 xml:space="preserve"> MSD 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Italia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 xml:space="preserve"> 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s.r.l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>. (“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Merck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 xml:space="preserve">”) с предложением расширить условия соглашения, распространяющегося на страны региона ВЕЦА, включив в него взрослые формы 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ралтегравира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 xml:space="preserve">, а также настоятельно рекомендуем принять меры по регистрации препарата в странах, где он до сих пор не зарегистрирован, и, с учетом тяжелой социально-экономической ситуации в регионе, ожидаем снижения цены на </w:t>
      </w:r>
      <w:proofErr w:type="spellStart"/>
      <w:r w:rsidRPr="00D26816">
        <w:rPr>
          <w:rFonts w:asciiTheme="majorHAnsi" w:hAnsiTheme="majorHAnsi"/>
          <w:b/>
          <w:sz w:val="16"/>
          <w:lang w:val="ru-RU"/>
        </w:rPr>
        <w:t>ралтегравир</w:t>
      </w:r>
      <w:proofErr w:type="spellEnd"/>
      <w:r w:rsidRPr="00D26816">
        <w:rPr>
          <w:rFonts w:asciiTheme="majorHAnsi" w:hAnsiTheme="majorHAnsi"/>
          <w:b/>
          <w:sz w:val="16"/>
          <w:lang w:val="ru-RU"/>
        </w:rPr>
        <w:t xml:space="preserve"> в странах, где он применяется</w:t>
      </w:r>
      <w:r w:rsidRPr="002161CD">
        <w:rPr>
          <w:rFonts w:asciiTheme="majorHAnsi" w:hAnsiTheme="majorHAnsi"/>
          <w:sz w:val="16"/>
          <w:lang w:val="ru-RU"/>
        </w:rPr>
        <w:t xml:space="preserve">. Эти действия покажут на деле приверженность компании </w:t>
      </w:r>
      <w:proofErr w:type="spellStart"/>
      <w:r w:rsidRPr="002161CD">
        <w:rPr>
          <w:rFonts w:asciiTheme="majorHAnsi" w:hAnsiTheme="majorHAnsi"/>
          <w:sz w:val="16"/>
          <w:lang w:val="ru-RU"/>
        </w:rPr>
        <w:t>Merck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идее о необходимости обеспечения лечением всех нуждающихся и продемонстрирует социальную ответственность компании. </w:t>
      </w:r>
    </w:p>
    <w:p w:rsidR="002161CD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</w:p>
    <w:p w:rsidR="00207462" w:rsidRPr="002161CD" w:rsidRDefault="002161CD" w:rsidP="002161CD">
      <w:pPr>
        <w:jc w:val="both"/>
        <w:rPr>
          <w:rFonts w:asciiTheme="majorHAnsi" w:hAnsiTheme="majorHAnsi"/>
          <w:sz w:val="16"/>
          <w:lang w:val="ru-RU"/>
        </w:rPr>
      </w:pPr>
      <w:r w:rsidRPr="002161CD">
        <w:rPr>
          <w:rFonts w:asciiTheme="majorHAnsi" w:hAnsiTheme="majorHAnsi"/>
          <w:sz w:val="16"/>
          <w:lang w:val="ru-RU"/>
        </w:rPr>
        <w:t xml:space="preserve">Мы готовы предоставить дополнительное обоснование, основанное на эпидемиологических, экономических и политических данных, для того чтобы построить продуктивный диалог по включению стран региона ВЕЦА в список стран, на которые будет распространяться добровольная лицензия на взрослые формы препарата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. Также, мы считаем своей обязанностью обеспечить продуктивный трехсторонний диалог между сообществом пациентов, фармацевтическим сектором и правительствами наших стран для того, чтобы оперативно предоставить возможность лицензирования препарата </w:t>
      </w:r>
      <w:proofErr w:type="spellStart"/>
      <w:r w:rsidRPr="002161CD">
        <w:rPr>
          <w:rFonts w:asciiTheme="majorHAnsi" w:hAnsiTheme="majorHAnsi"/>
          <w:sz w:val="16"/>
          <w:lang w:val="ru-RU"/>
        </w:rPr>
        <w:t>ралтегравир</w:t>
      </w:r>
      <w:proofErr w:type="spellEnd"/>
      <w:r w:rsidRPr="002161CD">
        <w:rPr>
          <w:rFonts w:asciiTheme="majorHAnsi" w:hAnsiTheme="majorHAnsi"/>
          <w:sz w:val="16"/>
          <w:lang w:val="ru-RU"/>
        </w:rPr>
        <w:t xml:space="preserve"> и обеспечить доступ к нему в регионе для всех, кто в нем нуждается.</w:t>
      </w:r>
    </w:p>
    <w:p w:rsidR="00207462" w:rsidRPr="002161CD" w:rsidRDefault="00207462" w:rsidP="0049006A">
      <w:pPr>
        <w:jc w:val="both"/>
        <w:rPr>
          <w:rFonts w:asciiTheme="majorHAnsi" w:hAnsiTheme="majorHAnsi"/>
          <w:sz w:val="16"/>
          <w:lang w:val="ru-RU"/>
        </w:rPr>
      </w:pPr>
    </w:p>
    <w:p w:rsidR="0049006A" w:rsidRPr="002161CD" w:rsidRDefault="0049006A" w:rsidP="00D256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Helvetica Neue"/>
          <w:sz w:val="16"/>
          <w:szCs w:val="16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909"/>
      </w:tblGrid>
      <w:tr w:rsidR="00993152" w:rsidTr="00207462">
        <w:tc>
          <w:tcPr>
            <w:tcW w:w="4662" w:type="dxa"/>
          </w:tcPr>
          <w:p w:rsidR="00993152" w:rsidRPr="00207462" w:rsidRDefault="00207462" w:rsidP="0020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207462">
              <w:rPr>
                <w:rFonts w:asciiTheme="minorHAnsi" w:hAnsiTheme="minorHAnsi" w:cs="Segoe UI"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038DD350" wp14:editId="72F054EA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244475</wp:posOffset>
                  </wp:positionV>
                  <wp:extent cx="1114425" cy="850265"/>
                  <wp:effectExtent l="0" t="0" r="9525" b="6985"/>
                  <wp:wrapNone/>
                  <wp:docPr id="6" name="Рисунок 6" descr="C:\Users\Volgina\Documents\Volgina\ВЕЦА КАБ\софосбувир\final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lgina\Documents\Volgina\ВЕЦА КАБ\софосбувир\final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456E">
              <w:rPr>
                <w:rFonts w:asciiTheme="minorHAnsi" w:hAnsiTheme="minorHAnsi"/>
                <w:sz w:val="16"/>
                <w:szCs w:val="16"/>
                <w:lang w:val="ru-RU"/>
              </w:rPr>
              <w:t>Президент</w:t>
            </w:r>
            <w:r w:rsidRPr="00207462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="0067456E" w:rsidRPr="00207462">
              <w:rPr>
                <w:rFonts w:asciiTheme="minorHAnsi" w:hAnsiTheme="minorHAnsi" w:cs="Arial"/>
                <w:iCs/>
                <w:sz w:val="16"/>
                <w:szCs w:val="16"/>
                <w:shd w:val="clear" w:color="auto" w:fill="FFFFFF"/>
                <w:lang w:val="ru-RU"/>
              </w:rPr>
              <w:t>"</w:t>
            </w:r>
            <w:proofErr w:type="spellStart"/>
            <w:r w:rsidR="0067456E" w:rsidRPr="00207462">
              <w:rPr>
                <w:rFonts w:asciiTheme="minorHAnsi" w:hAnsiTheme="minorHAnsi" w:cs="Arial"/>
                <w:iCs/>
                <w:sz w:val="16"/>
                <w:szCs w:val="16"/>
                <w:shd w:val="clear" w:color="auto" w:fill="FFFFFF"/>
                <w:lang w:val="ru-RU"/>
              </w:rPr>
              <w:t>Восточноевропейск</w:t>
            </w:r>
            <w:r w:rsidR="0067456E" w:rsidRPr="00207462">
              <w:rPr>
                <w:rFonts w:asciiTheme="minorHAnsi" w:hAnsiTheme="minorHAnsi" w:cs="Arial"/>
                <w:iCs/>
                <w:sz w:val="16"/>
                <w:szCs w:val="16"/>
                <w:shd w:val="clear" w:color="auto" w:fill="FFFFFF"/>
              </w:rPr>
              <w:t>ое</w:t>
            </w:r>
            <w:proofErr w:type="spellEnd"/>
            <w:r w:rsidR="0067456E" w:rsidRPr="00207462">
              <w:rPr>
                <w:rStyle w:val="apple-converted-space"/>
                <w:rFonts w:asciiTheme="minorHAnsi" w:hAnsiTheme="minorHAnsi" w:cs="Arial"/>
                <w:iCs/>
                <w:sz w:val="16"/>
                <w:szCs w:val="16"/>
                <w:shd w:val="clear" w:color="auto" w:fill="FFFFFF"/>
                <w:lang w:val="ru-RU"/>
              </w:rPr>
              <w:t> </w:t>
            </w:r>
            <w:r w:rsidR="0067456E" w:rsidRPr="00207462">
              <w:rPr>
                <w:rFonts w:asciiTheme="minorHAnsi" w:hAnsiTheme="minorHAnsi" w:cs="Arial"/>
                <w:iCs/>
                <w:sz w:val="16"/>
                <w:szCs w:val="16"/>
                <w:shd w:val="clear" w:color="auto" w:fill="FFFFFF"/>
                <w:lang w:val="ru-RU"/>
              </w:rPr>
              <w:t>и Центральноазиатское объединение ЛЖВ"</w:t>
            </w:r>
          </w:p>
        </w:tc>
        <w:tc>
          <w:tcPr>
            <w:tcW w:w="4909" w:type="dxa"/>
          </w:tcPr>
          <w:p w:rsidR="00993152" w:rsidRDefault="00207462" w:rsidP="00D25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Segoe UI"/>
                <w:sz w:val="16"/>
                <w:szCs w:val="16"/>
                <w:lang w:val="en-US"/>
              </w:rPr>
            </w:pPr>
            <w:r w:rsidRPr="002161CD">
              <w:rPr>
                <w:rFonts w:asciiTheme="minorHAnsi" w:hAnsiTheme="minorHAnsi" w:cs="Segoe UI"/>
                <w:sz w:val="16"/>
                <w:szCs w:val="16"/>
                <w:lang w:val="ru-RU"/>
              </w:rPr>
              <w:t xml:space="preserve">                       </w:t>
            </w:r>
            <w:r w:rsidR="0067456E">
              <w:rPr>
                <w:rFonts w:asciiTheme="minorHAnsi" w:hAnsiTheme="minorHAnsi" w:cs="Segoe UI"/>
                <w:sz w:val="16"/>
                <w:szCs w:val="16"/>
                <w:lang w:val="ru-RU"/>
              </w:rPr>
              <w:t>Региональный координатор</w:t>
            </w:r>
            <w:r w:rsidR="00993152">
              <w:rPr>
                <w:rFonts w:asciiTheme="minorHAnsi" w:hAnsiTheme="minorHAnsi" w:cs="Segoe UI"/>
                <w:sz w:val="16"/>
                <w:szCs w:val="16"/>
                <w:lang w:val="en-US"/>
              </w:rPr>
              <w:t xml:space="preserve"> ITPCru</w:t>
            </w:r>
          </w:p>
          <w:p w:rsidR="00993152" w:rsidRDefault="00993152" w:rsidP="00D256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  <w:lang w:val="ru-RU"/>
              </w:rPr>
            </w:pPr>
          </w:p>
        </w:tc>
      </w:tr>
    </w:tbl>
    <w:p w:rsidR="00B450FC" w:rsidRPr="00D2565E" w:rsidRDefault="00B450FC" w:rsidP="00D2565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  <w:lang w:val="ru-RU"/>
        </w:rPr>
      </w:pPr>
    </w:p>
    <w:p w:rsidR="00EE1E57" w:rsidRPr="00D2565E" w:rsidRDefault="00207462" w:rsidP="00D2565E">
      <w:pPr>
        <w:jc w:val="both"/>
        <w:rPr>
          <w:rFonts w:asciiTheme="minorHAnsi" w:hAnsiTheme="minorHAnsi" w:cs="Calibri"/>
          <w:b/>
          <w:bCs/>
          <w:sz w:val="16"/>
          <w:szCs w:val="1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F63DE09" wp14:editId="7549E16C">
            <wp:simplePos x="0" y="0"/>
            <wp:positionH relativeFrom="column">
              <wp:posOffset>3439160</wp:posOffset>
            </wp:positionH>
            <wp:positionV relativeFrom="paragraph">
              <wp:posOffset>-3175</wp:posOffset>
            </wp:positionV>
            <wp:extent cx="2128520" cy="324485"/>
            <wp:effectExtent l="0" t="0" r="508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32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152" w:rsidRPr="00993152" w:rsidRDefault="00993152" w:rsidP="00993152">
      <w:pPr>
        <w:spacing w:line="300" w:lineRule="auto"/>
        <w:jc w:val="both"/>
        <w:rPr>
          <w:rFonts w:asciiTheme="minorHAnsi" w:hAnsiTheme="minorHAnsi" w:cs="Segoe UI"/>
          <w:sz w:val="16"/>
          <w:szCs w:val="16"/>
          <w:lang w:val="en-US"/>
        </w:rPr>
      </w:pPr>
    </w:p>
    <w:sectPr w:rsidR="00993152" w:rsidRPr="00993152" w:rsidSect="0049006A">
      <w:headerReference w:type="default" r:id="rId10"/>
      <w:footerReference w:type="default" r:id="rId11"/>
      <w:pgSz w:w="11906" w:h="16838"/>
      <w:pgMar w:top="709" w:right="1133" w:bottom="709" w:left="1418" w:header="36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37" w:rsidRDefault="00371137">
      <w:r>
        <w:separator/>
      </w:r>
    </w:p>
  </w:endnote>
  <w:endnote w:type="continuationSeparator" w:id="0">
    <w:p w:rsidR="00371137" w:rsidRDefault="0037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93" w:rsidRPr="00673822" w:rsidRDefault="00371137" w:rsidP="00EE1E57">
    <w:pPr>
      <w:pStyle w:val="a3"/>
      <w:jc w:val="center"/>
      <w:rPr>
        <w:color w:val="365F91"/>
      </w:rPr>
    </w:pPr>
    <w:hyperlink r:id="rId1" w:history="1">
      <w:r w:rsidR="004F4193" w:rsidRPr="00916E35">
        <w:rPr>
          <w:rStyle w:val="a6"/>
          <w:color w:val="365F91"/>
          <w:lang w:val="en-US"/>
        </w:rPr>
        <w:t>http</w:t>
      </w:r>
      <w:r w:rsidR="004F4193" w:rsidRPr="00673822">
        <w:rPr>
          <w:rStyle w:val="a6"/>
          <w:color w:val="365F91"/>
        </w:rPr>
        <w:t>://</w:t>
      </w:r>
      <w:proofErr w:type="spellStart"/>
      <w:r w:rsidR="004F4193" w:rsidRPr="00916E35">
        <w:rPr>
          <w:rStyle w:val="a6"/>
          <w:color w:val="365F91"/>
          <w:lang w:val="en-US"/>
        </w:rPr>
        <w:t>itpcru</w:t>
      </w:r>
      <w:proofErr w:type="spellEnd"/>
      <w:r w:rsidR="004F4193" w:rsidRPr="00673822">
        <w:rPr>
          <w:rStyle w:val="a6"/>
          <w:color w:val="365F91"/>
        </w:rPr>
        <w:t>.</w:t>
      </w:r>
      <w:r w:rsidR="004F4193" w:rsidRPr="00916E35">
        <w:rPr>
          <w:rStyle w:val="a6"/>
          <w:color w:val="365F91"/>
          <w:lang w:val="en-US"/>
        </w:rPr>
        <w:t>org</w:t>
      </w:r>
      <w:r w:rsidR="004F4193" w:rsidRPr="00673822">
        <w:rPr>
          <w:rStyle w:val="a6"/>
          <w:color w:val="365F91"/>
        </w:rPr>
        <w:t>/</w:t>
      </w:r>
      <w:proofErr w:type="spellStart"/>
      <w:r w:rsidR="004F4193" w:rsidRPr="00916E35">
        <w:rPr>
          <w:rStyle w:val="a6"/>
          <w:color w:val="365F91"/>
          <w:lang w:val="en-US"/>
        </w:rPr>
        <w:t>eecacab</w:t>
      </w:r>
      <w:proofErr w:type="spellEnd"/>
      <w:r w:rsidR="004F4193" w:rsidRPr="00673822">
        <w:rPr>
          <w:rStyle w:val="a6"/>
          <w:color w:val="365F91"/>
        </w:rPr>
        <w:t>/</w:t>
      </w:r>
    </w:hyperlink>
  </w:p>
  <w:p w:rsidR="004F4193" w:rsidRPr="00673822" w:rsidRDefault="004F4193" w:rsidP="00EE1E57">
    <w:pPr>
      <w:pStyle w:val="a3"/>
      <w:jc w:val="center"/>
      <w:rPr>
        <w:color w:val="365F91"/>
      </w:rPr>
    </w:pPr>
    <w:r>
      <w:rPr>
        <w:noProof/>
        <w:color w:val="365F91"/>
        <w:lang w:val="ru-RU" w:eastAsia="ru-RU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 wp14:anchorId="21DD7B96" wp14:editId="48DAEE34">
              <wp:simplePos x="0" y="0"/>
              <wp:positionH relativeFrom="page">
                <wp:posOffset>720090</wp:posOffset>
              </wp:positionH>
              <wp:positionV relativeFrom="page">
                <wp:posOffset>9905365</wp:posOffset>
              </wp:positionV>
              <wp:extent cx="612076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7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438E7" id="Прямоугольник 58" o:spid="_x0000_s1026" style="position:absolute;margin-left:56.7pt;margin-top:779.95pt;width:481.95pt;height:2.85pt;z-index:-251657728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" fillcolor="#4f81bd" stroked="f" strokeweight="2pt">
              <v:path arrowok="t"/>
              <w10:wrap type="square" anchorx="page" anchory="page"/>
            </v:rect>
          </w:pict>
        </mc:Fallback>
      </mc:AlternateContent>
    </w:r>
    <w:hyperlink r:id="rId2" w:history="1">
      <w:r w:rsidRPr="00916E35">
        <w:rPr>
          <w:rStyle w:val="a6"/>
          <w:color w:val="365F91"/>
          <w:lang w:val="en-US"/>
        </w:rPr>
        <w:t>http</w:t>
      </w:r>
      <w:r w:rsidRPr="00673822">
        <w:rPr>
          <w:rStyle w:val="a6"/>
          <w:color w:val="365F91"/>
        </w:rPr>
        <w:t>://</w:t>
      </w:r>
      <w:proofErr w:type="spellStart"/>
      <w:r w:rsidRPr="00916E35">
        <w:rPr>
          <w:rStyle w:val="a6"/>
          <w:color w:val="365F91"/>
          <w:lang w:val="en-US"/>
        </w:rPr>
        <w:t>ecuo</w:t>
      </w:r>
      <w:proofErr w:type="spellEnd"/>
      <w:r w:rsidRPr="00673822">
        <w:rPr>
          <w:rStyle w:val="a6"/>
          <w:color w:val="365F91"/>
        </w:rPr>
        <w:t>.</w:t>
      </w:r>
      <w:r w:rsidRPr="00916E35">
        <w:rPr>
          <w:rStyle w:val="a6"/>
          <w:color w:val="365F91"/>
          <w:lang w:val="en-US"/>
        </w:rPr>
        <w:t>org</w:t>
      </w:r>
      <w:r w:rsidRPr="00673822">
        <w:rPr>
          <w:rStyle w:val="a6"/>
          <w:color w:val="365F91"/>
        </w:rPr>
        <w:t>/</w:t>
      </w:r>
      <w:proofErr w:type="spellStart"/>
      <w:r w:rsidRPr="00916E35">
        <w:rPr>
          <w:rStyle w:val="a6"/>
          <w:color w:val="365F91"/>
          <w:lang w:val="en-US"/>
        </w:rPr>
        <w:t>ru</w:t>
      </w:r>
      <w:proofErr w:type="spellEnd"/>
      <w:r w:rsidRPr="00673822">
        <w:rPr>
          <w:rStyle w:val="a6"/>
          <w:color w:val="365F91"/>
        </w:rPr>
        <w:t>/</w:t>
      </w:r>
      <w:proofErr w:type="spellStart"/>
      <w:r w:rsidRPr="00916E35">
        <w:rPr>
          <w:rStyle w:val="a6"/>
          <w:color w:val="365F91"/>
          <w:lang w:val="en-US"/>
        </w:rPr>
        <w:t>ecuo</w:t>
      </w:r>
      <w:proofErr w:type="spellEnd"/>
      <w:r w:rsidRPr="00673822">
        <w:rPr>
          <w:rStyle w:val="a6"/>
          <w:color w:val="365F91"/>
        </w:rPr>
        <w:t>/</w:t>
      </w:r>
      <w:r w:rsidRPr="00916E35">
        <w:rPr>
          <w:rStyle w:val="a6"/>
          <w:color w:val="365F91"/>
          <w:lang w:val="en-US"/>
        </w:rPr>
        <w:t>advocacy</w:t>
      </w:r>
      <w:r w:rsidRPr="00673822">
        <w:rPr>
          <w:rStyle w:val="a6"/>
          <w:color w:val="365F91"/>
        </w:rPr>
        <w:t>/</w:t>
      </w:r>
      <w:proofErr w:type="spellStart"/>
      <w:r w:rsidRPr="00916E35">
        <w:rPr>
          <w:rStyle w:val="a6"/>
          <w:color w:val="365F91"/>
          <w:lang w:val="en-US"/>
        </w:rPr>
        <w:t>ecca</w:t>
      </w:r>
      <w:proofErr w:type="spellEnd"/>
      <w:r w:rsidRPr="00673822">
        <w:rPr>
          <w:rStyle w:val="a6"/>
          <w:color w:val="365F91"/>
        </w:rPr>
        <w:t>-</w:t>
      </w:r>
      <w:r w:rsidRPr="00916E35">
        <w:rPr>
          <w:rStyle w:val="a6"/>
          <w:color w:val="365F91"/>
          <w:lang w:val="en-US"/>
        </w:rPr>
        <w:t>cab</w:t>
      </w:r>
      <w:r w:rsidRPr="00673822">
        <w:rPr>
          <w:rStyle w:val="a6"/>
          <w:color w:val="365F91"/>
        </w:rPr>
        <w:t>/</w:t>
      </w:r>
    </w:hyperlink>
  </w:p>
  <w:p w:rsidR="004F4193" w:rsidRPr="00673822" w:rsidRDefault="004F4193" w:rsidP="00EE1E57">
    <w:pPr>
      <w:pStyle w:val="a3"/>
    </w:pPr>
  </w:p>
  <w:p w:rsidR="004F4193" w:rsidRPr="00544614" w:rsidRDefault="004F4193">
    <w:pPr>
      <w:rPr>
        <w:sz w:val="8"/>
        <w:szCs w:val="8"/>
        <w:lang w:val="en-US"/>
      </w:rPr>
    </w:pPr>
  </w:p>
  <w:p w:rsidR="004F4193" w:rsidRPr="000261A3" w:rsidRDefault="004F4193" w:rsidP="000261A3">
    <w:pPr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37" w:rsidRDefault="00371137">
      <w:r>
        <w:separator/>
      </w:r>
    </w:p>
  </w:footnote>
  <w:footnote w:type="continuationSeparator" w:id="0">
    <w:p w:rsidR="00371137" w:rsidRDefault="00371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66" w:type="pct"/>
      <w:tblLook w:val="01E0" w:firstRow="1" w:lastRow="1" w:firstColumn="1" w:lastColumn="1" w:noHBand="0" w:noVBand="0"/>
    </w:tblPr>
    <w:tblGrid>
      <w:gridCol w:w="7402"/>
      <w:gridCol w:w="4784"/>
    </w:tblGrid>
    <w:tr w:rsidR="004F4193" w:rsidRPr="00841D11" w:rsidTr="00B450FC">
      <w:trPr>
        <w:trHeight w:val="1408"/>
      </w:trPr>
      <w:tc>
        <w:tcPr>
          <w:tcW w:w="3037" w:type="pct"/>
        </w:tcPr>
        <w:p w:rsidR="004F4193" w:rsidRPr="00AA4D2B" w:rsidRDefault="004F4193" w:rsidP="009A506D">
          <w:r>
            <w:rPr>
              <w:noProof/>
              <w:lang w:val="ru-RU" w:eastAsia="ru-RU"/>
            </w:rPr>
            <w:drawing>
              <wp:anchor distT="0" distB="0" distL="114300" distR="114300" simplePos="0" relativeHeight="251663360" behindDoc="0" locked="0" layoutInCell="1" allowOverlap="1" wp14:anchorId="40AB9B83" wp14:editId="1279D5BF">
                <wp:simplePos x="0" y="0"/>
                <wp:positionH relativeFrom="column">
                  <wp:posOffset>1947545</wp:posOffset>
                </wp:positionH>
                <wp:positionV relativeFrom="paragraph">
                  <wp:posOffset>152400</wp:posOffset>
                </wp:positionV>
                <wp:extent cx="2686050" cy="409575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6709BC1A" wp14:editId="7B8228BA">
                <wp:simplePos x="0" y="0"/>
                <wp:positionH relativeFrom="margin">
                  <wp:posOffset>-6985</wp:posOffset>
                </wp:positionH>
                <wp:positionV relativeFrom="margin">
                  <wp:posOffset>123825</wp:posOffset>
                </wp:positionV>
                <wp:extent cx="1731645" cy="410845"/>
                <wp:effectExtent l="0" t="0" r="0" b="0"/>
                <wp:wrapSquare wrapText="bothSides"/>
                <wp:docPr id="3" name="Рисунок 4" descr="ITPCru_Logo_2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ITPCru_Logo_2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3" w:type="pct"/>
        </w:tcPr>
        <w:p w:rsidR="004F4193" w:rsidRPr="00AA4D2B" w:rsidRDefault="004F4193" w:rsidP="009A506D">
          <w:r>
            <w:rPr>
              <w:noProof/>
              <w:lang w:val="ru-RU" w:eastAsia="ru-RU"/>
            </w:rPr>
            <w:drawing>
              <wp:anchor distT="0" distB="0" distL="114300" distR="114300" simplePos="0" relativeHeight="251655168" behindDoc="0" locked="0" layoutInCell="1" allowOverlap="1" wp14:anchorId="4B616E5E" wp14:editId="73D3DD4B">
                <wp:simplePos x="0" y="0"/>
                <wp:positionH relativeFrom="margin">
                  <wp:posOffset>99060</wp:posOffset>
                </wp:positionH>
                <wp:positionV relativeFrom="margin">
                  <wp:posOffset>155575</wp:posOffset>
                </wp:positionV>
                <wp:extent cx="1327785" cy="400050"/>
                <wp:effectExtent l="0" t="0" r="0" b="0"/>
                <wp:wrapSquare wrapText="bothSides"/>
                <wp:docPr id="1" name="Рисунок 2" descr="ecuo_colour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ecuo_colour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F4193" w:rsidRPr="00544614" w:rsidRDefault="004F4193" w:rsidP="00B85890">
    <w:pPr>
      <w:pStyle w:val="a5"/>
      <w:pBdr>
        <w:bottom w:val="single" w:sz="12" w:space="1" w:color="auto"/>
      </w:pBdr>
      <w:rPr>
        <w:rFonts w:ascii="Georgia" w:hAnsi="Georgia"/>
        <w:color w:val="008080"/>
        <w:sz w:val="8"/>
        <w:szCs w:val="8"/>
        <w:lang w:val="en-US"/>
      </w:rPr>
    </w:pPr>
  </w:p>
  <w:p w:rsidR="004F4193" w:rsidRPr="0041510C" w:rsidRDefault="004F4193" w:rsidP="00B85890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71F4"/>
    <w:multiLevelType w:val="hybridMultilevel"/>
    <w:tmpl w:val="F19804C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2FC71274"/>
    <w:multiLevelType w:val="hybridMultilevel"/>
    <w:tmpl w:val="3252CD90"/>
    <w:lvl w:ilvl="0" w:tplc="4F04B93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872BFA"/>
    <w:multiLevelType w:val="hybridMultilevel"/>
    <w:tmpl w:val="9714769C"/>
    <w:lvl w:ilvl="0" w:tplc="4F04B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E15FF"/>
    <w:multiLevelType w:val="hybridMultilevel"/>
    <w:tmpl w:val="11B21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46F7A"/>
    <w:multiLevelType w:val="hybridMultilevel"/>
    <w:tmpl w:val="E9E81A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07"/>
    <w:rsid w:val="0000203A"/>
    <w:rsid w:val="00025E59"/>
    <w:rsid w:val="000261A3"/>
    <w:rsid w:val="00033D59"/>
    <w:rsid w:val="000360C6"/>
    <w:rsid w:val="0005438D"/>
    <w:rsid w:val="0005473F"/>
    <w:rsid w:val="00066785"/>
    <w:rsid w:val="000B698F"/>
    <w:rsid w:val="000D79D5"/>
    <w:rsid w:val="000E214D"/>
    <w:rsid w:val="000F68FC"/>
    <w:rsid w:val="00113AC2"/>
    <w:rsid w:val="00114730"/>
    <w:rsid w:val="00147515"/>
    <w:rsid w:val="0014771C"/>
    <w:rsid w:val="0015602E"/>
    <w:rsid w:val="00182802"/>
    <w:rsid w:val="001930D7"/>
    <w:rsid w:val="001A44FB"/>
    <w:rsid w:val="001C6947"/>
    <w:rsid w:val="001D71BC"/>
    <w:rsid w:val="001D7898"/>
    <w:rsid w:val="00206067"/>
    <w:rsid w:val="00207462"/>
    <w:rsid w:val="002161CD"/>
    <w:rsid w:val="002167EC"/>
    <w:rsid w:val="002210F8"/>
    <w:rsid w:val="00245E3B"/>
    <w:rsid w:val="00247C05"/>
    <w:rsid w:val="0026052D"/>
    <w:rsid w:val="00274EEE"/>
    <w:rsid w:val="002766B4"/>
    <w:rsid w:val="00277E72"/>
    <w:rsid w:val="00285BDC"/>
    <w:rsid w:val="002A216A"/>
    <w:rsid w:val="002B0487"/>
    <w:rsid w:val="002B140F"/>
    <w:rsid w:val="002B647E"/>
    <w:rsid w:val="002C257F"/>
    <w:rsid w:val="002C503D"/>
    <w:rsid w:val="002E70A7"/>
    <w:rsid w:val="00325369"/>
    <w:rsid w:val="003345A9"/>
    <w:rsid w:val="0033736D"/>
    <w:rsid w:val="003403CC"/>
    <w:rsid w:val="00350807"/>
    <w:rsid w:val="00371137"/>
    <w:rsid w:val="0038390F"/>
    <w:rsid w:val="003A1994"/>
    <w:rsid w:val="003A3932"/>
    <w:rsid w:val="003B1CF6"/>
    <w:rsid w:val="003B3EEB"/>
    <w:rsid w:val="00406740"/>
    <w:rsid w:val="004149B9"/>
    <w:rsid w:val="0041510C"/>
    <w:rsid w:val="00476C59"/>
    <w:rsid w:val="0049006A"/>
    <w:rsid w:val="004B0599"/>
    <w:rsid w:val="004F226B"/>
    <w:rsid w:val="004F4193"/>
    <w:rsid w:val="004F4E3B"/>
    <w:rsid w:val="005313CA"/>
    <w:rsid w:val="00544614"/>
    <w:rsid w:val="00564BBE"/>
    <w:rsid w:val="005874F9"/>
    <w:rsid w:val="005B46B1"/>
    <w:rsid w:val="005C59C5"/>
    <w:rsid w:val="005D2265"/>
    <w:rsid w:val="005D280D"/>
    <w:rsid w:val="00600E04"/>
    <w:rsid w:val="00604A04"/>
    <w:rsid w:val="006272EE"/>
    <w:rsid w:val="00666717"/>
    <w:rsid w:val="0067456E"/>
    <w:rsid w:val="0069377C"/>
    <w:rsid w:val="006A2B62"/>
    <w:rsid w:val="006B7DE9"/>
    <w:rsid w:val="006D6E62"/>
    <w:rsid w:val="007058D3"/>
    <w:rsid w:val="00730CF4"/>
    <w:rsid w:val="0073174A"/>
    <w:rsid w:val="00762F92"/>
    <w:rsid w:val="00777362"/>
    <w:rsid w:val="00780855"/>
    <w:rsid w:val="007823A7"/>
    <w:rsid w:val="007852BD"/>
    <w:rsid w:val="007B44C8"/>
    <w:rsid w:val="007B63B5"/>
    <w:rsid w:val="007E0818"/>
    <w:rsid w:val="007F6631"/>
    <w:rsid w:val="00810AFF"/>
    <w:rsid w:val="008135B2"/>
    <w:rsid w:val="00815144"/>
    <w:rsid w:val="00841782"/>
    <w:rsid w:val="00841D11"/>
    <w:rsid w:val="008600B7"/>
    <w:rsid w:val="008C66C2"/>
    <w:rsid w:val="00920756"/>
    <w:rsid w:val="0093151D"/>
    <w:rsid w:val="00937B4E"/>
    <w:rsid w:val="00943FA4"/>
    <w:rsid w:val="00960326"/>
    <w:rsid w:val="00963F7B"/>
    <w:rsid w:val="00967FA6"/>
    <w:rsid w:val="00971185"/>
    <w:rsid w:val="00975AAA"/>
    <w:rsid w:val="009809C5"/>
    <w:rsid w:val="00991336"/>
    <w:rsid w:val="00993152"/>
    <w:rsid w:val="009A506D"/>
    <w:rsid w:val="009B4EA9"/>
    <w:rsid w:val="009D014B"/>
    <w:rsid w:val="009D3FF1"/>
    <w:rsid w:val="009E4CA8"/>
    <w:rsid w:val="00A1115C"/>
    <w:rsid w:val="00A472D1"/>
    <w:rsid w:val="00A5398A"/>
    <w:rsid w:val="00A6372D"/>
    <w:rsid w:val="00A6589F"/>
    <w:rsid w:val="00A73012"/>
    <w:rsid w:val="00A80808"/>
    <w:rsid w:val="00AA279C"/>
    <w:rsid w:val="00AA4D2B"/>
    <w:rsid w:val="00AD404A"/>
    <w:rsid w:val="00AD4A54"/>
    <w:rsid w:val="00AE33DE"/>
    <w:rsid w:val="00AF0ADF"/>
    <w:rsid w:val="00B01A26"/>
    <w:rsid w:val="00B172B4"/>
    <w:rsid w:val="00B21223"/>
    <w:rsid w:val="00B242F7"/>
    <w:rsid w:val="00B307A1"/>
    <w:rsid w:val="00B450FC"/>
    <w:rsid w:val="00B573DD"/>
    <w:rsid w:val="00B64073"/>
    <w:rsid w:val="00B65326"/>
    <w:rsid w:val="00B67939"/>
    <w:rsid w:val="00B85890"/>
    <w:rsid w:val="00BB29AC"/>
    <w:rsid w:val="00BC045B"/>
    <w:rsid w:val="00BD04D6"/>
    <w:rsid w:val="00BD6C8E"/>
    <w:rsid w:val="00C0485D"/>
    <w:rsid w:val="00C4428A"/>
    <w:rsid w:val="00C51667"/>
    <w:rsid w:val="00C6642E"/>
    <w:rsid w:val="00C800FA"/>
    <w:rsid w:val="00C8531F"/>
    <w:rsid w:val="00C87360"/>
    <w:rsid w:val="00CD1199"/>
    <w:rsid w:val="00D034B4"/>
    <w:rsid w:val="00D2565E"/>
    <w:rsid w:val="00D25673"/>
    <w:rsid w:val="00D26816"/>
    <w:rsid w:val="00D27044"/>
    <w:rsid w:val="00D47EE2"/>
    <w:rsid w:val="00D51E4C"/>
    <w:rsid w:val="00D54484"/>
    <w:rsid w:val="00D6191B"/>
    <w:rsid w:val="00D65C4E"/>
    <w:rsid w:val="00D8553D"/>
    <w:rsid w:val="00D937BA"/>
    <w:rsid w:val="00DD4D10"/>
    <w:rsid w:val="00E06621"/>
    <w:rsid w:val="00E21C9D"/>
    <w:rsid w:val="00E32B52"/>
    <w:rsid w:val="00E37092"/>
    <w:rsid w:val="00E45E5E"/>
    <w:rsid w:val="00E545CD"/>
    <w:rsid w:val="00EA5559"/>
    <w:rsid w:val="00EC619C"/>
    <w:rsid w:val="00ED5C6F"/>
    <w:rsid w:val="00EE1E57"/>
    <w:rsid w:val="00EF3771"/>
    <w:rsid w:val="00F51054"/>
    <w:rsid w:val="00F92463"/>
    <w:rsid w:val="00FB5B88"/>
    <w:rsid w:val="00FD699D"/>
    <w:rsid w:val="00FD6C5C"/>
    <w:rsid w:val="00FD7A6B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E87B603-8B11-4CC9-8745-9F22E913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84"/>
    <w:rPr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locked/>
    <w:rsid w:val="00EE1E57"/>
    <w:pPr>
      <w:keepNext/>
      <w:tabs>
        <w:tab w:val="left" w:pos="426"/>
      </w:tabs>
      <w:jc w:val="both"/>
      <w:outlineLvl w:val="2"/>
    </w:pPr>
    <w:rPr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807"/>
    <w:pPr>
      <w:tabs>
        <w:tab w:val="center" w:pos="4819"/>
        <w:tab w:val="right" w:pos="9639"/>
      </w:tabs>
    </w:pPr>
  </w:style>
  <w:style w:type="paragraph" w:styleId="a5">
    <w:name w:val="header"/>
    <w:basedOn w:val="a"/>
    <w:rsid w:val="00033D59"/>
    <w:pPr>
      <w:tabs>
        <w:tab w:val="center" w:pos="4819"/>
        <w:tab w:val="right" w:pos="9639"/>
      </w:tabs>
    </w:pPr>
  </w:style>
  <w:style w:type="character" w:styleId="a6">
    <w:name w:val="Hyperlink"/>
    <w:rsid w:val="00B67939"/>
    <w:rPr>
      <w:rFonts w:cs="Times New Roman"/>
      <w:color w:val="0000FF"/>
      <w:u w:val="single"/>
    </w:rPr>
  </w:style>
  <w:style w:type="table" w:styleId="a7">
    <w:name w:val="Table Grid"/>
    <w:basedOn w:val="a1"/>
    <w:rsid w:val="0041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6667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666717"/>
    <w:rPr>
      <w:rFonts w:ascii="Tahoma" w:hAnsi="Tahoma" w:cs="Tahoma"/>
      <w:sz w:val="16"/>
      <w:szCs w:val="16"/>
      <w:lang w:val="uk-UA" w:eastAsia="uk-UA"/>
    </w:rPr>
  </w:style>
  <w:style w:type="paragraph" w:styleId="aa">
    <w:name w:val="Normal (Web)"/>
    <w:basedOn w:val="a"/>
    <w:rsid w:val="009D014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47EE2"/>
    <w:pPr>
      <w:ind w:left="720"/>
    </w:pPr>
  </w:style>
  <w:style w:type="table" w:styleId="ab">
    <w:name w:val="Table Elegant"/>
    <w:basedOn w:val="a1"/>
    <w:rsid w:val="0073174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rsid w:val="00EE1E57"/>
    <w:rPr>
      <w:sz w:val="24"/>
      <w:lang w:val="en-US" w:eastAsia="en-US"/>
    </w:rPr>
  </w:style>
  <w:style w:type="character" w:customStyle="1" w:styleId="a4">
    <w:name w:val="Нижний колонтитул Знак"/>
    <w:link w:val="a3"/>
    <w:uiPriority w:val="99"/>
    <w:rsid w:val="00EE1E57"/>
    <w:rPr>
      <w:sz w:val="24"/>
      <w:szCs w:val="24"/>
      <w:lang w:val="uk-UA" w:eastAsia="uk-UA"/>
    </w:rPr>
  </w:style>
  <w:style w:type="paragraph" w:customStyle="1" w:styleId="10">
    <w:name w:val="Стиль1"/>
    <w:basedOn w:val="a"/>
    <w:qFormat/>
    <w:rsid w:val="00B450FC"/>
    <w:pPr>
      <w:keepNext/>
      <w:keepLines/>
      <w:spacing w:after="120"/>
      <w:jc w:val="both"/>
      <w:outlineLvl w:val="2"/>
    </w:pPr>
    <w:rPr>
      <w:rFonts w:asciiTheme="majorHAnsi" w:hAnsiTheme="majorHAnsi"/>
      <w:sz w:val="18"/>
      <w:szCs w:val="18"/>
      <w:lang w:val="en-US"/>
    </w:rPr>
  </w:style>
  <w:style w:type="character" w:customStyle="1" w:styleId="apple-converted-space">
    <w:name w:val="apple-converted-space"/>
    <w:basedOn w:val="a0"/>
    <w:rsid w:val="0067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cuo.org/ru/ecuo/advocacy/ecca-cab/" TargetMode="External"/><Relationship Id="rId1" Type="http://schemas.openxmlformats.org/officeDocument/2006/relationships/hyperlink" Target="http://itpcru.org/eecacab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71598-DA6B-4659-BC2E-383C772A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Org</Company>
  <LinksUpToDate>false</LinksUpToDate>
  <CharactersWithSpaces>6506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mailto:eduenas@medicinespatentpool.org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Medyk</dc:creator>
  <cp:lastModifiedBy>Alexandra Volgina</cp:lastModifiedBy>
  <cp:revision>6</cp:revision>
  <cp:lastPrinted>2014-09-09T08:04:00Z</cp:lastPrinted>
  <dcterms:created xsi:type="dcterms:W3CDTF">2015-03-11T11:28:00Z</dcterms:created>
  <dcterms:modified xsi:type="dcterms:W3CDTF">2015-03-13T10:00:00Z</dcterms:modified>
</cp:coreProperties>
</file>